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8363C" w14:textId="77777777" w:rsidR="00E73CD5" w:rsidRDefault="00E73CD5"/>
    <w:tbl>
      <w:tblPr>
        <w:tblW w:w="91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09"/>
        <w:gridCol w:w="7836"/>
      </w:tblGrid>
      <w:tr w:rsidR="00E97A05" w:rsidRPr="00CA3DFA" w14:paraId="2CB46EEC" w14:textId="77777777" w:rsidTr="00CA3DFA">
        <w:trPr>
          <w:trHeight w:val="791"/>
        </w:trPr>
        <w:tc>
          <w:tcPr>
            <w:tcW w:w="1309" w:type="dxa"/>
          </w:tcPr>
          <w:p w14:paraId="3F855365" w14:textId="475895F9" w:rsidR="00E73CD5" w:rsidRPr="00CA3DFA" w:rsidRDefault="00CA3DFA" w:rsidP="00E73CD5">
            <w:pPr>
              <w:pStyle w:val="ass"/>
              <w:spacing w:line="240" w:lineRule="atLeast"/>
              <w:ind w:right="-7655"/>
              <w:rPr>
                <w:rFonts w:ascii="Verdana" w:hAnsi="Verdana"/>
                <w:sz w:val="24"/>
                <w:szCs w:val="24"/>
              </w:rPr>
            </w:pPr>
            <w:r w:rsidRPr="00CA3DFA">
              <w:rPr>
                <w:rFonts w:ascii="Verdana" w:hAnsi="Verdana"/>
                <w:sz w:val="24"/>
                <w:szCs w:val="24"/>
                <w:u w:val="single"/>
              </w:rPr>
              <w:t>Assunto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7836" w:type="dxa"/>
          </w:tcPr>
          <w:p w14:paraId="78DD1AFC" w14:textId="77777777" w:rsidR="00E73CD5" w:rsidRPr="00CA3DFA" w:rsidRDefault="00E73CD5" w:rsidP="00E73CD5">
            <w:pPr>
              <w:spacing w:line="200" w:lineRule="atLeast"/>
              <w:rPr>
                <w:rFonts w:ascii="Verdana" w:hAnsi="Verdana" w:cs="Arial"/>
                <w:noProof/>
                <w:sz w:val="24"/>
                <w:szCs w:val="24"/>
              </w:rPr>
            </w:pPr>
            <w:bookmarkStart w:id="0" w:name="Assunto"/>
            <w:bookmarkEnd w:id="0"/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 xml:space="preserve">Processo de Licenciamento Ambiental n.º </w:t>
            </w:r>
            <w:r w:rsidR="00D73C0D" w:rsidRPr="00CA3DFA">
              <w:rPr>
                <w:rFonts w:ascii="Verdana" w:hAnsi="Verdana" w:cs="Arial"/>
                <w:noProof/>
                <w:sz w:val="24"/>
                <w:szCs w:val="24"/>
              </w:rPr>
              <w:t>PL20190710000992</w:t>
            </w:r>
          </w:p>
          <w:p w14:paraId="556138D2" w14:textId="77777777" w:rsidR="00E73CD5" w:rsidRPr="00CA3DFA" w:rsidRDefault="00E73CD5" w:rsidP="00E73CD5">
            <w:pPr>
              <w:spacing w:line="200" w:lineRule="atLeast"/>
              <w:rPr>
                <w:rFonts w:ascii="Verdana" w:hAnsi="Verdana" w:cs="Arial"/>
                <w:noProof/>
                <w:sz w:val="24"/>
                <w:szCs w:val="24"/>
              </w:rPr>
            </w:pP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Decreto-Lei n</w:t>
            </w:r>
            <w:r w:rsidR="005D6EE1" w:rsidRPr="00CA3DFA">
              <w:rPr>
                <w:rFonts w:ascii="Verdana" w:hAnsi="Verdana" w:cs="Arial"/>
                <w:noProof/>
                <w:sz w:val="24"/>
                <w:szCs w:val="24"/>
              </w:rPr>
              <w:t>.</w:t>
            </w: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 xml:space="preserve">º 127/2013, de 30 de agosto </w:t>
            </w:r>
          </w:p>
          <w:p w14:paraId="0DCDB31F" w14:textId="77777777" w:rsidR="00E73CD5" w:rsidRPr="00CA3DFA" w:rsidRDefault="00E73CD5" w:rsidP="00E73CD5">
            <w:pPr>
              <w:spacing w:line="200" w:lineRule="atLeast"/>
              <w:ind w:right="886"/>
              <w:rPr>
                <w:rFonts w:ascii="Verdana" w:hAnsi="Verdana" w:cs="Arial"/>
                <w:noProof/>
                <w:sz w:val="24"/>
                <w:szCs w:val="24"/>
              </w:rPr>
            </w:pP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Decreto -Lei n.º 75/2015, de 11 de maio</w:t>
            </w:r>
          </w:p>
          <w:p w14:paraId="275D7625" w14:textId="77777777" w:rsidR="00E73CD5" w:rsidRPr="00CA3DFA" w:rsidRDefault="00E73CD5" w:rsidP="00E73CD5">
            <w:pPr>
              <w:spacing w:line="200" w:lineRule="atLeast"/>
              <w:ind w:right="886"/>
              <w:rPr>
                <w:rFonts w:ascii="Verdana" w:hAnsi="Verdana" w:cs="Arial"/>
                <w:noProof/>
                <w:sz w:val="24"/>
                <w:szCs w:val="24"/>
              </w:rPr>
            </w:pP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Portaria n</w:t>
            </w:r>
            <w:r w:rsidR="005D6EE1" w:rsidRPr="00CA3DFA">
              <w:rPr>
                <w:rFonts w:ascii="Verdana" w:hAnsi="Verdana" w:cs="Arial"/>
                <w:noProof/>
                <w:sz w:val="24"/>
                <w:szCs w:val="24"/>
              </w:rPr>
              <w:t>.</w:t>
            </w: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 xml:space="preserve">º 399/2015, de 5 de novembro </w:t>
            </w:r>
          </w:p>
          <w:p w14:paraId="478A20AA" w14:textId="77777777" w:rsidR="005540AD" w:rsidRPr="00CA3DFA" w:rsidRDefault="00D73C0D" w:rsidP="00E73CD5">
            <w:pPr>
              <w:spacing w:line="200" w:lineRule="atLeast"/>
              <w:rPr>
                <w:rFonts w:ascii="Verdana" w:hAnsi="Verdana" w:cs="Arial"/>
                <w:noProof/>
                <w:sz w:val="24"/>
                <w:szCs w:val="24"/>
              </w:rPr>
            </w:pP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CITRI</w:t>
            </w:r>
            <w:r w:rsidR="004F6A37" w:rsidRPr="00CA3DFA">
              <w:rPr>
                <w:rFonts w:ascii="Verdana" w:hAnsi="Verdana" w:cs="Arial"/>
                <w:noProof/>
                <w:sz w:val="24"/>
                <w:szCs w:val="24"/>
              </w:rPr>
              <w:t xml:space="preserve"> – </w:t>
            </w:r>
            <w:r w:rsidR="00216C5E" w:rsidRPr="00CA3DFA">
              <w:rPr>
                <w:rFonts w:ascii="Verdana" w:hAnsi="Verdana" w:cs="Arial"/>
                <w:noProof/>
                <w:sz w:val="24"/>
                <w:szCs w:val="24"/>
              </w:rPr>
              <w:t>Centro Intergado de T</w:t>
            </w: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r</w:t>
            </w:r>
            <w:r w:rsidR="00216C5E" w:rsidRPr="00CA3DFA">
              <w:rPr>
                <w:rFonts w:ascii="Verdana" w:hAnsi="Verdana" w:cs="Arial"/>
                <w:noProof/>
                <w:sz w:val="24"/>
                <w:szCs w:val="24"/>
              </w:rPr>
              <w:t>a</w:t>
            </w: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tamento de Resíduos Industriais não Perigosos de Setúbal</w:t>
            </w:r>
            <w:r w:rsidR="004605C0" w:rsidRPr="00CA3DFA">
              <w:rPr>
                <w:rFonts w:ascii="Verdana" w:hAnsi="Verdana" w:cs="Arial"/>
                <w:noProof/>
                <w:sz w:val="24"/>
                <w:szCs w:val="24"/>
              </w:rPr>
              <w:t xml:space="preserve"> </w:t>
            </w:r>
            <w:r w:rsidR="00B06928" w:rsidRPr="00CA3DFA">
              <w:rPr>
                <w:rFonts w:ascii="Verdana" w:hAnsi="Verdana" w:cs="Arial"/>
                <w:noProof/>
                <w:sz w:val="24"/>
                <w:szCs w:val="24"/>
              </w:rPr>
              <w:t>–</w:t>
            </w:r>
            <w:r w:rsidR="004605C0" w:rsidRPr="00CA3DFA">
              <w:rPr>
                <w:rFonts w:ascii="Verdana" w:hAnsi="Verdana" w:cs="Arial"/>
                <w:noProof/>
                <w:sz w:val="24"/>
                <w:szCs w:val="24"/>
              </w:rPr>
              <w:t xml:space="preserve"> APA</w:t>
            </w: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00037343</w:t>
            </w:r>
          </w:p>
          <w:p w14:paraId="1913EE94" w14:textId="77777777" w:rsidR="00E73CD5" w:rsidRPr="00CA3DFA" w:rsidRDefault="00E73CD5" w:rsidP="00E73CD5">
            <w:pPr>
              <w:spacing w:line="200" w:lineRule="atLeast"/>
              <w:rPr>
                <w:rFonts w:ascii="Verdana" w:hAnsi="Verdana"/>
                <w:sz w:val="24"/>
                <w:szCs w:val="24"/>
              </w:rPr>
            </w:pPr>
            <w:r w:rsidRPr="00CA3DFA">
              <w:rPr>
                <w:rFonts w:ascii="Verdana" w:hAnsi="Verdana" w:cs="Arial"/>
                <w:noProof/>
                <w:sz w:val="24"/>
                <w:szCs w:val="24"/>
              </w:rPr>
              <w:t>Pedido de elementos complementares</w:t>
            </w:r>
          </w:p>
        </w:tc>
      </w:tr>
      <w:tr w:rsidR="00E97A05" w:rsidRPr="00CA3DFA" w14:paraId="7C285FE2" w14:textId="77777777" w:rsidTr="00CA3DFA">
        <w:trPr>
          <w:trHeight w:val="397"/>
        </w:trPr>
        <w:tc>
          <w:tcPr>
            <w:tcW w:w="1309" w:type="dxa"/>
          </w:tcPr>
          <w:p w14:paraId="21100E55" w14:textId="77777777" w:rsidR="00E73CD5" w:rsidRPr="00CA3DFA" w:rsidRDefault="00E73CD5" w:rsidP="00E73CD5">
            <w:pPr>
              <w:pStyle w:val="ass"/>
              <w:spacing w:line="240" w:lineRule="atLeast"/>
              <w:ind w:right="-7655"/>
              <w:rPr>
                <w:rFonts w:ascii="Verdana" w:hAnsi="Verdana"/>
                <w:sz w:val="24"/>
                <w:szCs w:val="24"/>
              </w:rPr>
            </w:pPr>
            <w:bookmarkStart w:id="1" w:name="Texto"/>
            <w:bookmarkStart w:id="2" w:name="Anexos"/>
            <w:bookmarkEnd w:id="1"/>
            <w:bookmarkEnd w:id="2"/>
          </w:p>
        </w:tc>
        <w:tc>
          <w:tcPr>
            <w:tcW w:w="7836" w:type="dxa"/>
          </w:tcPr>
          <w:p w14:paraId="00028802" w14:textId="77777777" w:rsidR="00E73CD5" w:rsidRPr="00CA3DFA" w:rsidRDefault="00E73CD5" w:rsidP="00E73CD5">
            <w:pPr>
              <w:tabs>
                <w:tab w:val="left" w:pos="2250"/>
              </w:tabs>
              <w:rPr>
                <w:rFonts w:ascii="Verdana" w:hAnsi="Verdana"/>
              </w:rPr>
            </w:pPr>
          </w:p>
        </w:tc>
      </w:tr>
    </w:tbl>
    <w:p w14:paraId="33F352EC" w14:textId="77777777" w:rsidR="00FA0FF7" w:rsidRPr="00CA3DFA" w:rsidRDefault="00FA0FF7" w:rsidP="00AE307A">
      <w:pPr>
        <w:spacing w:line="276" w:lineRule="auto"/>
        <w:ind w:right="567"/>
        <w:rPr>
          <w:rFonts w:ascii="Verdana" w:hAnsi="Verdana" w:cs="Calibri"/>
        </w:rPr>
      </w:pPr>
      <w:r w:rsidRPr="00CA3DFA">
        <w:rPr>
          <w:rFonts w:ascii="Verdana" w:hAnsi="Verdana" w:cs="Calibri"/>
        </w:rPr>
        <w:t>Na sequência da avaliação preliminar ao processo de Licenciamento Ambiental supra referenciado, solicitado no âmbito do Regime de Licenciamento Único de Ambiente (LUA), com vista à emissão do Título Único de Ambiente (TUA), junto se envia para resposta, o pedido de elementos complementares identificados por esta Agência, ao abrigo da alínea b) do n.º 1 do artigo 37º do Decreto-Lei n.º 127/2013, de 30 de agosto (Diploma REI), conjugado com a alínea c) do n.º 4 do artigo 5º do Decreto-Lei n.º 75/2015, de 11 de maio (Diploma LUA).</w:t>
      </w:r>
    </w:p>
    <w:p w14:paraId="18C0E5B4" w14:textId="77777777" w:rsidR="00FA0FF7" w:rsidRPr="00CA3DFA" w:rsidRDefault="00FA0FF7" w:rsidP="00AE307A">
      <w:pPr>
        <w:spacing w:before="120" w:line="276" w:lineRule="auto"/>
        <w:ind w:right="567"/>
        <w:rPr>
          <w:rFonts w:ascii="Verdana" w:hAnsi="Verdana" w:cs="Calibri"/>
        </w:rPr>
      </w:pPr>
      <w:r w:rsidRPr="00CA3DFA">
        <w:rPr>
          <w:rFonts w:ascii="Verdana" w:hAnsi="Verdana" w:cs="Calibri"/>
        </w:rPr>
        <w:t xml:space="preserve">Os elementos solicitados, com a finalidade de corrigir/complementar a informação já apresentada no processo de Licenciamento Ambiental, deverão ser carregados diretamente na área “Licenciamento Único” da plataforma SILiAmb, até à data indicada para </w:t>
      </w:r>
      <w:r w:rsidR="000635FE" w:rsidRPr="00CA3DFA">
        <w:rPr>
          <w:rFonts w:ascii="Verdana" w:hAnsi="Verdana" w:cs="Calibri"/>
        </w:rPr>
        <w:t>o efeito na referida plataforma</w:t>
      </w:r>
      <w:r w:rsidRPr="00CA3DFA">
        <w:rPr>
          <w:rFonts w:ascii="Verdana" w:hAnsi="Verdana" w:cs="Calibri"/>
        </w:rPr>
        <w:t>.</w:t>
      </w:r>
    </w:p>
    <w:p w14:paraId="3B38E62F" w14:textId="77777777" w:rsidR="0090144A" w:rsidRPr="00CA3DFA" w:rsidRDefault="0090144A" w:rsidP="00AE307A">
      <w:pPr>
        <w:spacing w:before="120" w:line="276" w:lineRule="auto"/>
        <w:ind w:right="567"/>
        <w:rPr>
          <w:rFonts w:ascii="Verdana" w:hAnsi="Verdana" w:cs="Calibri"/>
          <w:sz w:val="22"/>
          <w:szCs w:val="22"/>
        </w:rPr>
      </w:pPr>
    </w:p>
    <w:p w14:paraId="358324E7" w14:textId="5FA20903" w:rsidR="004544C0" w:rsidRPr="00CA3DFA" w:rsidRDefault="00A17FF2" w:rsidP="00AE307A">
      <w:pPr>
        <w:spacing w:before="120" w:line="276" w:lineRule="auto"/>
        <w:ind w:right="567"/>
        <w:rPr>
          <w:rFonts w:ascii="Verdana" w:hAnsi="Verdana" w:cs="Calibri"/>
          <w:u w:val="single"/>
        </w:rPr>
      </w:pPr>
      <w:r w:rsidRPr="00CA3DFA">
        <w:rPr>
          <w:rFonts w:ascii="Verdana" w:hAnsi="Verdana" w:cs="Calibri"/>
          <w:u w:val="single"/>
        </w:rPr>
        <w:t>R</w:t>
      </w:r>
      <w:r w:rsidR="00E73CD5" w:rsidRPr="00CA3DFA">
        <w:rPr>
          <w:rFonts w:ascii="Verdana" w:hAnsi="Verdana" w:cs="Calibri"/>
          <w:u w:val="single"/>
        </w:rPr>
        <w:t xml:space="preserve">elativamente ao </w:t>
      </w:r>
      <w:r w:rsidR="00E73CD5" w:rsidRPr="00CA3DFA">
        <w:rPr>
          <w:rFonts w:ascii="Verdana" w:hAnsi="Verdana" w:cs="Calibri"/>
          <w:b/>
          <w:u w:val="single"/>
        </w:rPr>
        <w:t xml:space="preserve">Módulo </w:t>
      </w:r>
      <w:r w:rsidR="00FF548D" w:rsidRPr="00CA3DFA">
        <w:rPr>
          <w:rFonts w:ascii="Verdana" w:hAnsi="Verdana" w:cs="Calibri"/>
          <w:b/>
          <w:u w:val="single"/>
        </w:rPr>
        <w:t>I</w:t>
      </w:r>
      <w:r w:rsidR="00E73CD5" w:rsidRPr="00CA3DFA">
        <w:rPr>
          <w:rFonts w:ascii="Verdana" w:hAnsi="Verdana" w:cs="Calibri"/>
          <w:b/>
          <w:u w:val="single"/>
        </w:rPr>
        <w:t xml:space="preserve">I – </w:t>
      </w:r>
      <w:r w:rsidR="00FF548D" w:rsidRPr="00CA3DFA">
        <w:rPr>
          <w:rFonts w:ascii="Verdana" w:hAnsi="Verdana" w:cs="Calibri"/>
          <w:b/>
          <w:u w:val="single"/>
        </w:rPr>
        <w:t>Memória Descritiva</w:t>
      </w:r>
      <w:r w:rsidR="00E73CD5" w:rsidRPr="00CA3DFA">
        <w:rPr>
          <w:rFonts w:ascii="Verdana" w:hAnsi="Verdana" w:cs="Calibri"/>
          <w:u w:val="single"/>
        </w:rPr>
        <w:t>, solicita-se:</w:t>
      </w:r>
    </w:p>
    <w:p w14:paraId="032B71A6" w14:textId="2F53012F" w:rsidR="00A221A8" w:rsidRPr="00CA3DFA" w:rsidRDefault="00AE307A" w:rsidP="004A191D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Indicação d</w:t>
      </w:r>
      <w:r w:rsidR="00C404E5" w:rsidRPr="00CA3DFA">
        <w:rPr>
          <w:rFonts w:ascii="Verdana" w:hAnsi="Verdana" w:cs="Calibri"/>
          <w:sz w:val="20"/>
          <w:szCs w:val="20"/>
        </w:rPr>
        <w:t>a previsão/calendarização para a</w:t>
      </w:r>
      <w:r w:rsidR="0079540E" w:rsidRPr="00CA3DFA">
        <w:rPr>
          <w:rFonts w:ascii="Verdana" w:hAnsi="Verdana" w:cs="Calibri"/>
          <w:sz w:val="20"/>
          <w:szCs w:val="20"/>
        </w:rPr>
        <w:t xml:space="preserve"> realização da ampliação da Célula C</w:t>
      </w:r>
      <w:r w:rsidR="00C404E5" w:rsidRPr="00CA3DFA">
        <w:rPr>
          <w:rFonts w:ascii="Verdana" w:hAnsi="Verdana" w:cs="Calibri"/>
          <w:sz w:val="20"/>
          <w:szCs w:val="20"/>
        </w:rPr>
        <w:t xml:space="preserve">, bem como </w:t>
      </w:r>
      <w:r w:rsidR="00FD516A">
        <w:rPr>
          <w:rFonts w:ascii="Verdana" w:hAnsi="Verdana" w:cs="Calibri"/>
          <w:sz w:val="20"/>
          <w:szCs w:val="20"/>
        </w:rPr>
        <w:t>a data de</w:t>
      </w:r>
      <w:r w:rsidRPr="00CA3DFA">
        <w:rPr>
          <w:rFonts w:ascii="Verdana" w:hAnsi="Verdana" w:cs="Calibri"/>
          <w:sz w:val="20"/>
          <w:szCs w:val="20"/>
        </w:rPr>
        <w:t xml:space="preserve"> início </w:t>
      </w:r>
      <w:r w:rsidR="0079540E" w:rsidRPr="00CA3DFA">
        <w:rPr>
          <w:rFonts w:ascii="Verdana" w:hAnsi="Verdana" w:cs="Calibri"/>
          <w:sz w:val="20"/>
          <w:szCs w:val="20"/>
        </w:rPr>
        <w:t>previst</w:t>
      </w:r>
      <w:r w:rsidR="00FD516A">
        <w:rPr>
          <w:rFonts w:ascii="Verdana" w:hAnsi="Verdana" w:cs="Calibri"/>
          <w:sz w:val="20"/>
          <w:szCs w:val="20"/>
        </w:rPr>
        <w:t>a</w:t>
      </w:r>
      <w:r w:rsidR="0079540E" w:rsidRPr="00CA3DFA">
        <w:rPr>
          <w:rFonts w:ascii="Verdana" w:hAnsi="Verdana" w:cs="Calibri"/>
          <w:sz w:val="20"/>
          <w:szCs w:val="20"/>
        </w:rPr>
        <w:t xml:space="preserve">, e respetiva calendarização, </w:t>
      </w:r>
      <w:r w:rsidR="00EE16E7" w:rsidRPr="00CA3DFA">
        <w:rPr>
          <w:rFonts w:ascii="Verdana" w:hAnsi="Verdana" w:cs="Calibri"/>
          <w:sz w:val="20"/>
          <w:szCs w:val="20"/>
        </w:rPr>
        <w:t xml:space="preserve">para </w:t>
      </w:r>
      <w:r w:rsidR="0079540E" w:rsidRPr="00CA3DFA">
        <w:rPr>
          <w:rFonts w:ascii="Verdana" w:hAnsi="Verdana" w:cs="Calibri"/>
          <w:sz w:val="20"/>
          <w:szCs w:val="20"/>
        </w:rPr>
        <w:t>a con</w:t>
      </w:r>
      <w:r w:rsidR="00216526">
        <w:rPr>
          <w:rFonts w:ascii="Verdana" w:hAnsi="Verdana" w:cs="Calibri"/>
          <w:sz w:val="20"/>
          <w:szCs w:val="20"/>
        </w:rPr>
        <w:t>s</w:t>
      </w:r>
      <w:r w:rsidR="0079540E" w:rsidRPr="00CA3DFA">
        <w:rPr>
          <w:rFonts w:ascii="Verdana" w:hAnsi="Verdana" w:cs="Calibri"/>
          <w:sz w:val="20"/>
          <w:szCs w:val="20"/>
        </w:rPr>
        <w:t>tr</w:t>
      </w:r>
      <w:r w:rsidR="00216526">
        <w:rPr>
          <w:rFonts w:ascii="Verdana" w:hAnsi="Verdana" w:cs="Calibri"/>
          <w:sz w:val="20"/>
          <w:szCs w:val="20"/>
        </w:rPr>
        <w:t>u</w:t>
      </w:r>
      <w:r w:rsidR="0079540E" w:rsidRPr="00CA3DFA">
        <w:rPr>
          <w:rFonts w:ascii="Verdana" w:hAnsi="Verdana" w:cs="Calibri"/>
          <w:sz w:val="20"/>
          <w:szCs w:val="20"/>
        </w:rPr>
        <w:t xml:space="preserve">ção das instalações da </w:t>
      </w:r>
      <w:r w:rsidR="006A4FAA" w:rsidRPr="00CA3DFA">
        <w:rPr>
          <w:rFonts w:ascii="Verdana" w:hAnsi="Verdana" w:cs="Calibri"/>
          <w:sz w:val="20"/>
          <w:szCs w:val="20"/>
        </w:rPr>
        <w:t>Unidade de C</w:t>
      </w:r>
      <w:r w:rsidR="0079540E" w:rsidRPr="00CA3DFA">
        <w:rPr>
          <w:rFonts w:ascii="Verdana" w:hAnsi="Verdana" w:cs="Calibri"/>
          <w:sz w:val="20"/>
          <w:szCs w:val="20"/>
        </w:rPr>
        <w:t>ompostagem</w:t>
      </w:r>
      <w:r w:rsidRPr="00CA3DFA">
        <w:rPr>
          <w:rFonts w:ascii="Verdana" w:hAnsi="Verdana" w:cs="Calibri"/>
          <w:sz w:val="20"/>
          <w:szCs w:val="20"/>
        </w:rPr>
        <w:t>.</w:t>
      </w:r>
    </w:p>
    <w:p w14:paraId="34B3A042" w14:textId="039F345A" w:rsidR="00B37CF2" w:rsidRPr="00CA3DFA" w:rsidRDefault="00B37CF2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Apresentação dos cálculos efetuados para a determinação da 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 xml:space="preserve">capacidade instalada do aterro, 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integrando a capacidade da nova Célula (Célula 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>C</w:t>
      </w:r>
      <w:r w:rsidRPr="00CA3DFA">
        <w:rPr>
          <w:rFonts w:ascii="Verdana" w:hAnsi="Verdana" w:cs="Calibri"/>
          <w:color w:val="auto"/>
          <w:sz w:val="20"/>
          <w:szCs w:val="20"/>
        </w:rPr>
        <w:t>) (volume de encaixe, em m</w:t>
      </w:r>
      <w:r w:rsidRPr="00CA3DFA">
        <w:rPr>
          <w:rFonts w:ascii="Verdana" w:hAnsi="Verdana" w:cs="Calibri"/>
          <w:color w:val="auto"/>
          <w:sz w:val="20"/>
          <w:szCs w:val="20"/>
          <w:vertAlign w:val="superscript"/>
        </w:rPr>
        <w:t>3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>, e massa, em toneladas).</w:t>
      </w:r>
    </w:p>
    <w:p w14:paraId="6A17CB3C" w14:textId="794D099F" w:rsidR="00B37CF2" w:rsidRPr="00CA3DFA" w:rsidRDefault="00B37CF2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Apresentação dos cálculos formulados para a determinação da capacidade instalada a licenciar, em toneladas por dia, para a valorização de resí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 xml:space="preserve">duos não perigosos, envolvendo </w:t>
      </w:r>
      <w:r w:rsidR="001428EC" w:rsidRPr="00CA3DFA">
        <w:rPr>
          <w:rFonts w:ascii="Verdana" w:eastAsiaTheme="minorHAnsi" w:hAnsi="Verdana" w:cstheme="minorBidi"/>
          <w:sz w:val="20"/>
          <w:szCs w:val="20"/>
        </w:rPr>
        <w:t>a atividade de tratamento biológico na unidade de compostagem</w:t>
      </w:r>
      <w:r w:rsidRPr="00CA3DFA">
        <w:rPr>
          <w:rFonts w:ascii="Verdana" w:hAnsi="Verdana" w:cs="Calibri"/>
          <w:color w:val="auto"/>
          <w:sz w:val="20"/>
          <w:szCs w:val="20"/>
        </w:rPr>
        <w:t>.</w:t>
      </w:r>
    </w:p>
    <w:p w14:paraId="2DDCA3AD" w14:textId="77777777" w:rsidR="00B37CF2" w:rsidRPr="00CA3DFA" w:rsidRDefault="00B37CF2" w:rsidP="00B37CF2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Relembra-se que, a capacidade instalada para tratamento de resíduos corresponde à capacidade máxima de sujeição dos resíduos a processamento/tratamento (i.e., input de resíduos, à entrada do processo tratamento) em cada unidade, para um período de laboração de vinte e quatro horas, expressa em ton/dia, independentemente do seu regime de funcionamento, turnos, horário de laboração, ou valor do processamento/tratamento efetivo para resposta à procura do mercado. A capacidade instalada deverá ser determinada com base nas capacidades máximas de cada equipamento e/ou respetivas linhas de tratamento devendo, </w:t>
      </w:r>
      <w:r w:rsidRPr="00CA3DFA">
        <w:rPr>
          <w:rFonts w:ascii="Verdana" w:hAnsi="Verdana" w:cs="Calibri"/>
          <w:sz w:val="20"/>
          <w:szCs w:val="20"/>
        </w:rPr>
        <w:t xml:space="preserve">contudo, ser tidos em conta, os constrangimentos técnicos decorrentes do processo, identificando-os. </w:t>
      </w:r>
    </w:p>
    <w:p w14:paraId="047FE663" w14:textId="2FEF9CD3" w:rsidR="00B37CF2" w:rsidRPr="00CA3DFA" w:rsidRDefault="001428EC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eastAsiaTheme="minorHAnsi" w:hAnsi="Verdana" w:cstheme="minorBidi"/>
          <w:sz w:val="20"/>
          <w:szCs w:val="20"/>
        </w:rPr>
        <w:lastRenderedPageBreak/>
        <w:t>Indicação da capacidade total estimada para o armazenamento de resíduos perigosos e de resíduos não perigosos (em toneladas), sejam eles rececionados para armazenamento na instalação, ou resultantes da atividade de valorização de resíduos na própria instalação, se por período superior a 1 ano</w:t>
      </w:r>
      <w:r w:rsidR="00B37CF2" w:rsidRPr="00CA3DFA">
        <w:rPr>
          <w:rFonts w:ascii="Verdana" w:hAnsi="Verdana" w:cs="Calibri"/>
          <w:sz w:val="20"/>
          <w:szCs w:val="20"/>
        </w:rPr>
        <w:t xml:space="preserve">. </w:t>
      </w:r>
    </w:p>
    <w:p w14:paraId="39B622D5" w14:textId="77777777" w:rsidR="00B37CF2" w:rsidRPr="00CA3DFA" w:rsidRDefault="00B37CF2" w:rsidP="00B37CF2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 xml:space="preserve">Sobre esta matéria sugere-se a consulta à Nota Interpretativa 1/2016, de 11/08/2016, disponível no </w:t>
      </w:r>
      <w:r w:rsidRPr="00CA3DFA">
        <w:rPr>
          <w:rFonts w:ascii="Verdana" w:hAnsi="Verdana" w:cs="Calibri"/>
          <w:i/>
          <w:sz w:val="20"/>
          <w:szCs w:val="20"/>
        </w:rPr>
        <w:t>site</w:t>
      </w:r>
      <w:r w:rsidRPr="00CA3DFA">
        <w:rPr>
          <w:rFonts w:ascii="Verdana" w:hAnsi="Verdana" w:cs="Calibri"/>
          <w:sz w:val="20"/>
          <w:szCs w:val="20"/>
        </w:rPr>
        <w:t xml:space="preserve"> de internet da APA (www.apambiente.pt/Instrumentos/Licenciamento ambiental/Notas interpretativas).</w:t>
      </w:r>
    </w:p>
    <w:p w14:paraId="1B630811" w14:textId="77777777" w:rsidR="00B37CF2" w:rsidRPr="00CA3DFA" w:rsidRDefault="00B37CF2" w:rsidP="00B37CF2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Note-se que, a capacidade instalada para armazenagem de resíduos (capacidade instantânea) é a capacidade máxima de armazenagem instantânea, ou seja, o quantitativo máximo de resíduos (em toneladas) que podem estar presentes na unidade de armazenagem num determinado momento, em granel e/ou taras.</w:t>
      </w:r>
    </w:p>
    <w:p w14:paraId="413940FA" w14:textId="77777777" w:rsidR="00B37CF2" w:rsidRPr="00CA3DFA" w:rsidRDefault="00B37CF2" w:rsidP="00B37CF2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A informação a apresentar deve ser devidamente justificada, com os respetivos cálculos e com indicação da correspondente área de armazenamento.</w:t>
      </w:r>
    </w:p>
    <w:p w14:paraId="4BE2A0A0" w14:textId="77777777" w:rsidR="001428EC" w:rsidRPr="00CA3DFA" w:rsidRDefault="001428EC" w:rsidP="001428EC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Apresentação dos cálculos formulados para a determinação da capacidade instalada, em toneladas por dia, da unidade de produção de combustível derivado de resíduo (CDR).</w:t>
      </w:r>
    </w:p>
    <w:p w14:paraId="5038E760" w14:textId="51CE865C" w:rsidR="001428EC" w:rsidRPr="00CA3DFA" w:rsidRDefault="001428EC" w:rsidP="001428EC">
      <w:pPr>
        <w:pStyle w:val="PargrafodaLista"/>
        <w:spacing w:before="120" w:after="120" w:line="276" w:lineRule="auto"/>
        <w:ind w:left="567" w:right="567"/>
        <w:jc w:val="both"/>
        <w:rPr>
          <w:rFonts w:ascii="Verdana" w:eastAsiaTheme="minorHAnsi" w:hAnsi="Verdana" w:cstheme="minorBidi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Os cálculos a efetuar devem ter em consideração o descrito no ponto 3. do presente pedido de</w:t>
      </w:r>
      <w:r w:rsidRPr="00CA3DFA">
        <w:rPr>
          <w:rFonts w:ascii="Verdana" w:eastAsiaTheme="minorHAnsi" w:hAnsi="Verdana" w:cstheme="minorBidi"/>
          <w:sz w:val="20"/>
          <w:szCs w:val="20"/>
        </w:rPr>
        <w:t xml:space="preserve"> elementos.</w:t>
      </w:r>
    </w:p>
    <w:p w14:paraId="1550716C" w14:textId="77777777" w:rsidR="001428EC" w:rsidRPr="00CA3DFA" w:rsidRDefault="001428EC" w:rsidP="001428EC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Confirmação de que a operação de valorização de resíduos orgânicos, através do processo de tratamento por biopilhas, se encontra atualmente a ser realizada na instalação. </w:t>
      </w:r>
    </w:p>
    <w:p w14:paraId="373785B0" w14:textId="2BD69699" w:rsidR="0079540E" w:rsidRPr="00CA3DFA" w:rsidRDefault="0079540E" w:rsidP="0079540E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Reformulação do documento Memória Descritiva, contemplando uma descrição detalhada das operações efetuadas na </w:t>
      </w:r>
      <w:r w:rsidR="002D40F6" w:rsidRPr="00CA3DFA">
        <w:rPr>
          <w:rFonts w:ascii="Verdana" w:hAnsi="Verdana" w:cs="Calibri"/>
          <w:color w:val="auto"/>
          <w:sz w:val="20"/>
          <w:szCs w:val="20"/>
        </w:rPr>
        <w:t>U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nidade de </w:t>
      </w:r>
      <w:r w:rsidR="00EE16E7" w:rsidRPr="00CA3DFA">
        <w:rPr>
          <w:rFonts w:ascii="Verdana" w:hAnsi="Verdana" w:cs="Calibri"/>
          <w:color w:val="auto"/>
          <w:sz w:val="20"/>
          <w:szCs w:val="20"/>
        </w:rPr>
        <w:t>C</w:t>
      </w:r>
      <w:r w:rsidRPr="00CA3DFA">
        <w:rPr>
          <w:rFonts w:ascii="Verdana" w:hAnsi="Verdana" w:cs="Calibri"/>
          <w:color w:val="auto"/>
          <w:sz w:val="20"/>
          <w:szCs w:val="20"/>
        </w:rPr>
        <w:t>ompostagem.</w:t>
      </w:r>
    </w:p>
    <w:p w14:paraId="4C7E97A1" w14:textId="2FC25203" w:rsidR="00B37CF2" w:rsidRPr="00CA3DFA" w:rsidRDefault="00B37CF2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Esclarecimento relativamente ao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>(s)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 xml:space="preserve">possível(eis) </w:t>
      </w:r>
      <w:r w:rsidRPr="00CA3DFA">
        <w:rPr>
          <w:rFonts w:ascii="Verdana" w:hAnsi="Verdana" w:cs="Calibri"/>
          <w:color w:val="auto"/>
          <w:sz w:val="20"/>
          <w:szCs w:val="20"/>
        </w:rPr>
        <w:t>destino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>(s)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</w:t>
      </w:r>
      <w:r w:rsidR="00EE16E7" w:rsidRPr="00CA3DFA">
        <w:rPr>
          <w:rFonts w:ascii="Verdana" w:hAnsi="Verdana" w:cs="Calibri"/>
          <w:color w:val="auto"/>
          <w:sz w:val="20"/>
          <w:szCs w:val="20"/>
        </w:rPr>
        <w:t xml:space="preserve">para </w:t>
      </w:r>
      <w:r w:rsidRPr="00CA3DFA">
        <w:rPr>
          <w:rFonts w:ascii="Verdana" w:hAnsi="Verdana" w:cs="Calibri"/>
          <w:color w:val="auto"/>
          <w:sz w:val="20"/>
          <w:szCs w:val="20"/>
        </w:rPr>
        <w:t>o composto orgânico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 xml:space="preserve"> e CDR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produzido</w:t>
      </w:r>
      <w:r w:rsidR="0079540E" w:rsidRPr="00CA3DFA">
        <w:rPr>
          <w:rFonts w:ascii="Verdana" w:hAnsi="Verdana" w:cs="Calibri"/>
          <w:color w:val="auto"/>
          <w:sz w:val="20"/>
          <w:szCs w:val="20"/>
        </w:rPr>
        <w:t>s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n</w:t>
      </w:r>
      <w:r w:rsidR="004605C0" w:rsidRPr="00CA3DFA">
        <w:rPr>
          <w:rFonts w:ascii="Verdana" w:hAnsi="Verdana" w:cs="Calibri"/>
          <w:color w:val="auto"/>
          <w:sz w:val="20"/>
          <w:szCs w:val="20"/>
        </w:rPr>
        <w:t>o estabelecimento</w:t>
      </w:r>
      <w:r w:rsidRPr="00CA3DFA">
        <w:rPr>
          <w:rFonts w:ascii="Verdana" w:hAnsi="Verdana" w:cs="Calibri"/>
          <w:color w:val="auto"/>
          <w:sz w:val="20"/>
          <w:szCs w:val="20"/>
        </w:rPr>
        <w:t>, assim como as respetivas quantidades produzidas e escoadas.</w:t>
      </w:r>
    </w:p>
    <w:p w14:paraId="2F8BC90A" w14:textId="77777777" w:rsidR="00B37CF2" w:rsidRPr="00CA3DFA" w:rsidRDefault="00B37CF2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Apresentação de fluxograma que inclua os balanços de entradas e saídas de todas as operações realizadas n</w:t>
      </w:r>
      <w:r w:rsidR="004605C0" w:rsidRPr="00CA3DFA">
        <w:rPr>
          <w:rFonts w:ascii="Verdana" w:hAnsi="Verdana" w:cs="Calibri"/>
          <w:color w:val="auto"/>
          <w:sz w:val="20"/>
          <w:szCs w:val="20"/>
        </w:rPr>
        <w:t>o estabelecimento</w:t>
      </w:r>
      <w:r w:rsidR="009A7CF4" w:rsidRPr="00CA3DFA">
        <w:rPr>
          <w:rFonts w:ascii="Verdana" w:hAnsi="Verdana" w:cs="Calibri"/>
          <w:color w:val="auto"/>
          <w:sz w:val="20"/>
          <w:szCs w:val="20"/>
        </w:rPr>
        <w:t>, em toneladas</w:t>
      </w:r>
      <w:r w:rsidRPr="00CA3DFA">
        <w:rPr>
          <w:rFonts w:ascii="Verdana" w:hAnsi="Verdana" w:cs="Calibri"/>
          <w:color w:val="auto"/>
          <w:sz w:val="20"/>
          <w:szCs w:val="20"/>
        </w:rPr>
        <w:t>.</w:t>
      </w:r>
    </w:p>
    <w:p w14:paraId="0FAE39C3" w14:textId="05FD46B3" w:rsidR="00B37CF2" w:rsidRPr="00CA3DFA" w:rsidRDefault="0079540E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Completar o preenchimento do quadro Q44 do Formulário LUA, com todas as atividades PCIP desenvolvidas na instalação</w:t>
      </w:r>
      <w:r w:rsidR="00B37CF2" w:rsidRPr="00CA3DFA">
        <w:rPr>
          <w:rFonts w:ascii="Verdana" w:hAnsi="Verdana" w:cs="Calibri"/>
          <w:color w:val="auto"/>
          <w:sz w:val="20"/>
          <w:szCs w:val="20"/>
        </w:rPr>
        <w:t>.</w:t>
      </w:r>
      <w:r w:rsidR="00CA3DFA" w:rsidRPr="00CA3DFA">
        <w:rPr>
          <w:rFonts w:ascii="Verdana" w:hAnsi="Verdana" w:cs="Calibri"/>
          <w:color w:val="auto"/>
          <w:sz w:val="20"/>
          <w:szCs w:val="20"/>
        </w:rPr>
        <w:t xml:space="preserve"> Solicita-se ainda a reformulação do quadro Q40 do Formulário LUA.</w:t>
      </w:r>
    </w:p>
    <w:p w14:paraId="0E4A3F04" w14:textId="69581B3C" w:rsidR="00A17FF2" w:rsidRPr="00DA43E6" w:rsidRDefault="00E95ED4" w:rsidP="00B37CF2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DA43E6">
        <w:rPr>
          <w:rFonts w:ascii="Verdana" w:hAnsi="Verdana" w:cs="Calibri"/>
          <w:color w:val="auto"/>
          <w:sz w:val="20"/>
          <w:szCs w:val="20"/>
        </w:rPr>
        <w:t xml:space="preserve">Esclarecimento relativamente ao procedimento aplicado na gestão dos RCDA (Resíduos de Construção e Demolição contendo </w:t>
      </w:r>
      <w:r w:rsidR="00A17FF2" w:rsidRPr="00DA43E6">
        <w:rPr>
          <w:rFonts w:ascii="Verdana" w:hAnsi="Verdana" w:cs="Calibri"/>
          <w:color w:val="auto"/>
          <w:sz w:val="20"/>
          <w:szCs w:val="20"/>
        </w:rPr>
        <w:t>Amianto</w:t>
      </w:r>
      <w:r w:rsidRPr="00DA43E6">
        <w:rPr>
          <w:rFonts w:ascii="Verdana" w:hAnsi="Verdana" w:cs="Calibri"/>
          <w:color w:val="auto"/>
          <w:sz w:val="20"/>
          <w:szCs w:val="20"/>
        </w:rPr>
        <w:t>)</w:t>
      </w:r>
      <w:r w:rsidR="00611372">
        <w:rPr>
          <w:rFonts w:ascii="Verdana" w:hAnsi="Verdana" w:cs="Calibri"/>
          <w:color w:val="auto"/>
          <w:sz w:val="20"/>
          <w:szCs w:val="20"/>
        </w:rPr>
        <w:t xml:space="preserve"> e do Amianto</w:t>
      </w:r>
      <w:r w:rsidRPr="00DA43E6">
        <w:rPr>
          <w:rFonts w:ascii="Verdana" w:hAnsi="Verdana" w:cs="Calibri"/>
          <w:color w:val="auto"/>
          <w:sz w:val="20"/>
          <w:szCs w:val="20"/>
        </w:rPr>
        <w:t xml:space="preserve">, </w:t>
      </w:r>
      <w:r w:rsidR="00611372">
        <w:rPr>
          <w:rFonts w:ascii="Verdana" w:hAnsi="Verdana" w:cs="Calibri"/>
          <w:color w:val="auto"/>
          <w:sz w:val="20"/>
          <w:szCs w:val="20"/>
        </w:rPr>
        <w:t xml:space="preserve">desde a sua </w:t>
      </w:r>
      <w:r w:rsidRPr="00DA43E6">
        <w:rPr>
          <w:rFonts w:ascii="Verdana" w:hAnsi="Verdana" w:cs="Calibri"/>
          <w:color w:val="auto"/>
          <w:sz w:val="20"/>
          <w:szCs w:val="20"/>
        </w:rPr>
        <w:t>receção</w:t>
      </w:r>
      <w:r w:rsidR="00611372">
        <w:rPr>
          <w:rFonts w:ascii="Verdana" w:hAnsi="Verdana" w:cs="Calibri"/>
          <w:color w:val="auto"/>
          <w:sz w:val="20"/>
          <w:szCs w:val="20"/>
        </w:rPr>
        <w:t xml:space="preserve"> até à deposição em aterro.</w:t>
      </w:r>
    </w:p>
    <w:p w14:paraId="12CF9361" w14:textId="6B676D0A" w:rsidR="001428EC" w:rsidRDefault="00E95ED4" w:rsidP="00E95ED4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Esclarecimento relativamente à implementação de </w:t>
      </w:r>
      <w:r w:rsidR="001A20F3" w:rsidRPr="00CA3DFA">
        <w:rPr>
          <w:rFonts w:ascii="Verdana" w:hAnsi="Verdana" w:cs="Calibri"/>
          <w:color w:val="auto"/>
          <w:sz w:val="20"/>
          <w:szCs w:val="20"/>
        </w:rPr>
        <w:t>um sistema de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gestão ambiental (SGA), uma vez que existe discrepância entre a LA nº 714/0.1/2018, e o último relatório de inspeção da IGAMAOT (2019)?</w:t>
      </w:r>
    </w:p>
    <w:p w14:paraId="62C10F7D" w14:textId="38B44993" w:rsidR="00CA3DFA" w:rsidRPr="00CA3DFA" w:rsidRDefault="00CA3DFA" w:rsidP="00CA3DFA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Esclarecimento relativamente ao cumprimento da condição definida na LA n.º 714/0.1/2018: </w:t>
      </w:r>
      <w:r w:rsidRPr="00CA3DFA">
        <w:rPr>
          <w:rFonts w:ascii="Verdana" w:hAnsi="Verdana" w:cs="Calibri"/>
          <w:i/>
          <w:color w:val="auto"/>
          <w:sz w:val="20"/>
          <w:szCs w:val="20"/>
        </w:rPr>
        <w:t>“(…) submeter à APA a licença de construção das instalações de compostagem, a emitir pela Câmara Municipal de Setúbal</w:t>
      </w:r>
      <w:r w:rsidRPr="00CA3DFA">
        <w:rPr>
          <w:rFonts w:ascii="Verdana" w:hAnsi="Verdana" w:cs="Calibri"/>
          <w:color w:val="auto"/>
          <w:sz w:val="20"/>
          <w:szCs w:val="20"/>
        </w:rPr>
        <w:t>”.</w:t>
      </w:r>
    </w:p>
    <w:p w14:paraId="3404C209" w14:textId="7797657E" w:rsidR="00961D76" w:rsidRPr="00CA3DFA" w:rsidRDefault="00961D76" w:rsidP="00961D76">
      <w:pPr>
        <w:spacing w:before="120" w:line="276" w:lineRule="auto"/>
        <w:ind w:right="567"/>
        <w:rPr>
          <w:rFonts w:ascii="Verdana" w:hAnsi="Verdana" w:cs="Calibri"/>
          <w:u w:val="single"/>
        </w:rPr>
      </w:pPr>
      <w:r w:rsidRPr="00CA3DFA">
        <w:rPr>
          <w:rFonts w:ascii="Verdana" w:hAnsi="Verdana" w:cs="Calibri"/>
          <w:u w:val="single"/>
        </w:rPr>
        <w:t xml:space="preserve">Relativamente ao </w:t>
      </w:r>
      <w:r w:rsidRPr="00CA3DFA">
        <w:rPr>
          <w:rFonts w:ascii="Verdana" w:hAnsi="Verdana" w:cs="Calibri"/>
          <w:b/>
          <w:u w:val="single"/>
        </w:rPr>
        <w:t>Módulo III – Energia</w:t>
      </w:r>
      <w:r w:rsidRPr="00CA3DFA">
        <w:rPr>
          <w:rFonts w:ascii="Verdana" w:hAnsi="Verdana" w:cs="Calibri"/>
          <w:u w:val="single"/>
        </w:rPr>
        <w:t>, solicita-se:</w:t>
      </w:r>
    </w:p>
    <w:p w14:paraId="15F898FA" w14:textId="115F77D5" w:rsidR="00961D76" w:rsidRPr="00CA3DFA" w:rsidRDefault="00AD08D4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Reformulação do quadro Q</w:t>
      </w:r>
      <w:r w:rsidR="00216526">
        <w:rPr>
          <w:rFonts w:ascii="Verdana" w:hAnsi="Verdana" w:cs="Calibri"/>
          <w:color w:val="auto"/>
          <w:sz w:val="20"/>
          <w:szCs w:val="20"/>
        </w:rPr>
        <w:t>1</w:t>
      </w:r>
      <w:r w:rsidRPr="00CA3DFA">
        <w:rPr>
          <w:rFonts w:ascii="Verdana" w:hAnsi="Verdana" w:cs="Calibri"/>
          <w:color w:val="auto"/>
          <w:sz w:val="20"/>
          <w:szCs w:val="20"/>
        </w:rPr>
        <w:t>4 do Formulário LUA, com os “</w:t>
      </w:r>
      <w:r w:rsidR="001D3779" w:rsidRPr="00CA3DFA">
        <w:rPr>
          <w:rFonts w:ascii="Verdana" w:hAnsi="Verdana" w:cs="Calibri"/>
          <w:color w:val="auto"/>
          <w:sz w:val="20"/>
          <w:szCs w:val="20"/>
        </w:rPr>
        <w:t>Tipos de energia ou produtos energéticos gerados</w:t>
      </w:r>
      <w:r w:rsidRPr="00CA3DFA">
        <w:rPr>
          <w:rFonts w:ascii="Verdana" w:hAnsi="Verdana" w:cs="Calibri"/>
          <w:color w:val="auto"/>
          <w:sz w:val="20"/>
          <w:szCs w:val="20"/>
        </w:rPr>
        <w:t>”</w:t>
      </w:r>
      <w:r w:rsidR="001D3779" w:rsidRPr="00CA3DFA">
        <w:rPr>
          <w:rFonts w:ascii="Verdana" w:hAnsi="Verdana" w:cs="Calibri"/>
          <w:color w:val="auto"/>
          <w:sz w:val="20"/>
          <w:szCs w:val="20"/>
        </w:rPr>
        <w:t xml:space="preserve">, </w:t>
      </w:r>
      <w:r w:rsidRPr="00CA3DFA">
        <w:rPr>
          <w:rFonts w:ascii="Verdana" w:hAnsi="Verdana" w:cs="Calibri"/>
          <w:color w:val="auto"/>
          <w:sz w:val="20"/>
          <w:szCs w:val="20"/>
        </w:rPr>
        <w:t>se aplicável.</w:t>
      </w:r>
    </w:p>
    <w:p w14:paraId="21ED12B3" w14:textId="0C26CE7B" w:rsidR="00AD08D4" w:rsidRPr="00CA3DFA" w:rsidRDefault="00AD08D4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Clarificação sobre quais os combustíveis utilizados na unidade de compostagem, bem como indicação se os consumos médios anuais de energia e de gasóleo referidos no </w:t>
      </w:r>
      <w:r w:rsidRPr="00CA3DFA">
        <w:rPr>
          <w:rFonts w:ascii="Verdana" w:hAnsi="Verdana" w:cs="Calibri"/>
          <w:color w:val="auto"/>
          <w:sz w:val="20"/>
          <w:szCs w:val="20"/>
        </w:rPr>
        <w:lastRenderedPageBreak/>
        <w:t>Formulário LUA incluem a unidade em apreço. Caso não inclua, solicita-se a devida retificação do quadro Q07A.</w:t>
      </w:r>
    </w:p>
    <w:p w14:paraId="0E30940F" w14:textId="46DD4895" w:rsidR="00AD08D4" w:rsidRPr="00CA3DFA" w:rsidRDefault="00AD08D4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Solicita-se a apresentação de cópias da Licença de armazenamento de gasóleo e/ou do posto de abastecimento de combustível, ao abrigo do Decreto-Lei n.º 217/2012, de 9 de outubro, que republica o Decreto-Lei n.º 267/2002, de 26 de novembro, relativo aos procedimentos e competências de licenciamento e fiscalização de instalações de armazenamento de produtos de petróleo e de instalações de postos de abastecimento de combustíveis.</w:t>
      </w:r>
    </w:p>
    <w:p w14:paraId="37CB698A" w14:textId="722EA001" w:rsidR="001D3779" w:rsidRPr="00CA3DFA" w:rsidRDefault="001D3779" w:rsidP="001D3779">
      <w:pPr>
        <w:spacing w:before="120" w:line="276" w:lineRule="auto"/>
        <w:ind w:right="567"/>
        <w:rPr>
          <w:rFonts w:ascii="Verdana" w:hAnsi="Verdana" w:cs="Calibri"/>
          <w:u w:val="single"/>
        </w:rPr>
      </w:pPr>
      <w:r w:rsidRPr="00CA3DFA">
        <w:rPr>
          <w:rFonts w:ascii="Verdana" w:hAnsi="Verdana" w:cs="Calibri"/>
          <w:u w:val="single"/>
        </w:rPr>
        <w:t xml:space="preserve">Relativamente ao </w:t>
      </w:r>
      <w:r w:rsidRPr="00CA3DFA">
        <w:rPr>
          <w:rFonts w:ascii="Verdana" w:hAnsi="Verdana" w:cs="Calibri"/>
          <w:b/>
          <w:u w:val="single"/>
        </w:rPr>
        <w:t>Módulo IV – Recursos Hídricos (Abastecimento)</w:t>
      </w:r>
      <w:r w:rsidRPr="00CA3DFA">
        <w:rPr>
          <w:rFonts w:ascii="Verdana" w:hAnsi="Verdana" w:cs="Calibri"/>
          <w:u w:val="single"/>
        </w:rPr>
        <w:t>, solicita-se:</w:t>
      </w:r>
    </w:p>
    <w:p w14:paraId="4EB95A56" w14:textId="6D0E0F5F" w:rsidR="001D3779" w:rsidRPr="006F0811" w:rsidRDefault="002E76E1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 xml:space="preserve">Esclarecimento quanto à </w:t>
      </w:r>
      <w:r w:rsidR="001D3779" w:rsidRPr="00CA3DFA">
        <w:rPr>
          <w:rFonts w:ascii="Verdana" w:hAnsi="Verdana" w:cs="Calibri"/>
          <w:color w:val="auto"/>
          <w:sz w:val="20"/>
          <w:szCs w:val="20"/>
        </w:rPr>
        <w:t>alteração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da localização dos</w:t>
      </w:r>
      <w:r w:rsidR="001D3779" w:rsidRPr="00CA3DFA">
        <w:rPr>
          <w:rFonts w:ascii="Verdana" w:hAnsi="Verdana" w:cs="Calibri"/>
          <w:color w:val="auto"/>
          <w:sz w:val="20"/>
          <w:szCs w:val="20"/>
        </w:rPr>
        <w:t xml:space="preserve"> piezómetros, face às alterações </w:t>
      </w:r>
      <w:r w:rsidRPr="00CA3DFA">
        <w:rPr>
          <w:rFonts w:ascii="Verdana" w:hAnsi="Verdana" w:cs="Calibri"/>
          <w:color w:val="auto"/>
          <w:sz w:val="20"/>
          <w:szCs w:val="20"/>
        </w:rPr>
        <w:t>da célula C (ampliação), e alteração da linha de água.</w:t>
      </w:r>
    </w:p>
    <w:p w14:paraId="4C259709" w14:textId="5C138623" w:rsidR="002E76E1" w:rsidRPr="00CA3DFA" w:rsidRDefault="002E76E1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Clarificação sobre quais as origens da água consumida na unidade de compostagem, bem como o destino dado às águas residuais naquela unidade, em concreto aos lixiviados produzidos no processo de compostagem e às águas pluviais (potencialmente contaminadas e não contaminadas).</w:t>
      </w:r>
    </w:p>
    <w:p w14:paraId="040F471E" w14:textId="77777777" w:rsidR="0055674C" w:rsidRPr="00CA3DFA" w:rsidRDefault="00216C5E" w:rsidP="00AE307A">
      <w:pPr>
        <w:spacing w:before="120" w:line="276" w:lineRule="auto"/>
        <w:ind w:right="567"/>
        <w:rPr>
          <w:rFonts w:ascii="Verdana" w:hAnsi="Verdana" w:cs="Calibri"/>
          <w:u w:val="single"/>
        </w:rPr>
      </w:pPr>
      <w:r w:rsidRPr="00CA3DFA">
        <w:rPr>
          <w:rFonts w:ascii="Verdana" w:hAnsi="Verdana" w:cs="Calibri"/>
          <w:u w:val="single"/>
        </w:rPr>
        <w:t>R</w:t>
      </w:r>
      <w:r w:rsidR="0055674C" w:rsidRPr="00CA3DFA">
        <w:rPr>
          <w:rFonts w:ascii="Verdana" w:hAnsi="Verdana" w:cs="Calibri"/>
          <w:u w:val="single"/>
        </w:rPr>
        <w:t xml:space="preserve">elativamente ao </w:t>
      </w:r>
      <w:r w:rsidR="0055674C" w:rsidRPr="00CA3DFA">
        <w:rPr>
          <w:rFonts w:ascii="Verdana" w:hAnsi="Verdana" w:cs="Calibri"/>
          <w:b/>
          <w:u w:val="single"/>
        </w:rPr>
        <w:t>Módulo IV – Recursos Hídricos (Águas Residuais)</w:t>
      </w:r>
      <w:r w:rsidR="0055674C" w:rsidRPr="00CA3DFA">
        <w:rPr>
          <w:rFonts w:ascii="Verdana" w:hAnsi="Verdana" w:cs="Calibri"/>
          <w:u w:val="single"/>
        </w:rPr>
        <w:t>, solicita-se:</w:t>
      </w:r>
    </w:p>
    <w:p w14:paraId="5928041E" w14:textId="77777777" w:rsidR="0055674C" w:rsidRPr="00CA3DFA" w:rsidRDefault="0055674C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CA3DFA">
        <w:rPr>
          <w:rFonts w:ascii="Verdana" w:hAnsi="Verdana" w:cs="Calibri"/>
          <w:color w:val="auto"/>
          <w:sz w:val="20"/>
          <w:szCs w:val="20"/>
        </w:rPr>
        <w:t>No que respeita ao ponto de descarga</w:t>
      </w:r>
      <w:r w:rsidR="004F6A37" w:rsidRPr="00CA3DFA">
        <w:rPr>
          <w:rFonts w:ascii="Verdana" w:hAnsi="Verdana" w:cs="Calibri"/>
          <w:color w:val="auto"/>
          <w:sz w:val="20"/>
          <w:szCs w:val="20"/>
        </w:rPr>
        <w:t>,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em coletor ED1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 xml:space="preserve">, 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solicita-se 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 xml:space="preserve">esclarecimento se o contrato celebrado com a entidade gestora </w:t>
      </w:r>
      <w:r w:rsidR="00216C5E" w:rsidRPr="00CA3DFA">
        <w:rPr>
          <w:rFonts w:ascii="Verdana" w:hAnsi="Verdana" w:cs="Calibri"/>
          <w:color w:val="auto"/>
          <w:sz w:val="20"/>
          <w:szCs w:val="20"/>
        </w:rPr>
        <w:t xml:space="preserve">e submetido, 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 xml:space="preserve">ainda se mantém válido, caso contrário deverá ser </w:t>
      </w:r>
      <w:r w:rsidRPr="00CA3DFA">
        <w:rPr>
          <w:rFonts w:ascii="Verdana" w:hAnsi="Verdana" w:cs="Calibri"/>
          <w:color w:val="auto"/>
          <w:sz w:val="20"/>
          <w:szCs w:val="20"/>
        </w:rPr>
        <w:t>apresenta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>do o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referid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>o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>contrato renovado/atualizado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, ou 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>o</w:t>
      </w:r>
      <w:r w:rsidRPr="00CA3DFA">
        <w:rPr>
          <w:rFonts w:ascii="Verdana" w:hAnsi="Verdana" w:cs="Calibri"/>
          <w:color w:val="auto"/>
          <w:sz w:val="20"/>
          <w:szCs w:val="20"/>
        </w:rPr>
        <w:t xml:space="preserve"> pedido de renovação</w:t>
      </w:r>
      <w:r w:rsidR="00B5225F" w:rsidRPr="00CA3DFA">
        <w:rPr>
          <w:rFonts w:ascii="Verdana" w:hAnsi="Verdana" w:cs="Calibri"/>
          <w:color w:val="auto"/>
          <w:sz w:val="20"/>
          <w:szCs w:val="20"/>
        </w:rPr>
        <w:t>/atualização</w:t>
      </w:r>
      <w:r w:rsidRPr="00CA3DFA">
        <w:rPr>
          <w:rFonts w:ascii="Verdana" w:hAnsi="Verdana" w:cs="Calibri"/>
          <w:color w:val="auto"/>
          <w:sz w:val="20"/>
          <w:szCs w:val="20"/>
        </w:rPr>
        <w:t>, bem como das respetivas condições impostas.</w:t>
      </w:r>
    </w:p>
    <w:p w14:paraId="0BAB9769" w14:textId="3F678BA4" w:rsidR="00B37CF2" w:rsidRPr="006F0811" w:rsidRDefault="00B37CF2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6F0811">
        <w:rPr>
          <w:rFonts w:ascii="Verdana" w:hAnsi="Verdana" w:cs="Calibri"/>
          <w:color w:val="auto"/>
          <w:sz w:val="20"/>
          <w:szCs w:val="20"/>
        </w:rPr>
        <w:t>Descrição das medidas a implementar para garantir que as águas pluviais e sub-superficiais, da</w:t>
      </w:r>
      <w:r w:rsidR="00B06928" w:rsidRPr="006F0811">
        <w:rPr>
          <w:rFonts w:ascii="Verdana" w:hAnsi="Verdana" w:cs="Calibri"/>
          <w:color w:val="auto"/>
          <w:sz w:val="20"/>
          <w:szCs w:val="20"/>
        </w:rPr>
        <w:t xml:space="preserve"> instalação, encaminhadas para o solo</w:t>
      </w:r>
      <w:r w:rsidRPr="006F0811">
        <w:rPr>
          <w:rFonts w:ascii="Verdana" w:hAnsi="Verdana" w:cs="Calibri"/>
          <w:color w:val="auto"/>
          <w:sz w:val="20"/>
          <w:szCs w:val="20"/>
        </w:rPr>
        <w:t>, não apresentam qualquer contaminação</w:t>
      </w:r>
      <w:r w:rsidR="001D3779" w:rsidRPr="006F0811">
        <w:rPr>
          <w:rFonts w:ascii="Verdana" w:hAnsi="Verdana" w:cs="Calibri"/>
          <w:color w:val="auto"/>
          <w:sz w:val="20"/>
          <w:szCs w:val="20"/>
        </w:rPr>
        <w:t>, face às novas alterações</w:t>
      </w:r>
      <w:r w:rsidRPr="006F0811">
        <w:rPr>
          <w:rFonts w:ascii="Verdana" w:hAnsi="Verdana" w:cs="Calibri"/>
          <w:color w:val="auto"/>
          <w:sz w:val="20"/>
          <w:szCs w:val="20"/>
        </w:rPr>
        <w:t>.</w:t>
      </w:r>
    </w:p>
    <w:p w14:paraId="35A4E35A" w14:textId="77777777" w:rsidR="0043157E" w:rsidRPr="006F0811" w:rsidRDefault="000C5357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color w:val="auto"/>
          <w:sz w:val="20"/>
          <w:szCs w:val="20"/>
        </w:rPr>
      </w:pPr>
      <w:r w:rsidRPr="006F0811">
        <w:rPr>
          <w:rFonts w:ascii="Verdana" w:hAnsi="Verdana" w:cs="Calibri"/>
          <w:color w:val="auto"/>
          <w:sz w:val="20"/>
          <w:szCs w:val="20"/>
        </w:rPr>
        <w:t xml:space="preserve">Esclarecimento se é efetuada a </w:t>
      </w:r>
      <w:r w:rsidR="001A20F3" w:rsidRPr="006F0811">
        <w:rPr>
          <w:rFonts w:ascii="Verdana" w:hAnsi="Verdana" w:cs="Calibri"/>
          <w:color w:val="auto"/>
          <w:sz w:val="20"/>
          <w:szCs w:val="20"/>
        </w:rPr>
        <w:t>recircul</w:t>
      </w:r>
      <w:r w:rsidRPr="006F0811">
        <w:rPr>
          <w:rFonts w:ascii="Verdana" w:hAnsi="Verdana" w:cs="Calibri"/>
          <w:color w:val="auto"/>
          <w:sz w:val="20"/>
          <w:szCs w:val="20"/>
        </w:rPr>
        <w:t>ação do lixiviado para aterro? Em caso afirmativo, solicita-se indicação d</w:t>
      </w:r>
      <w:r w:rsidR="001A20F3" w:rsidRPr="006F0811">
        <w:rPr>
          <w:rFonts w:ascii="Verdana" w:hAnsi="Verdana" w:cs="Calibri"/>
          <w:color w:val="auto"/>
          <w:sz w:val="20"/>
          <w:szCs w:val="20"/>
        </w:rPr>
        <w:t>o volume (anual e mensal)</w:t>
      </w:r>
      <w:r w:rsidRPr="006F0811">
        <w:rPr>
          <w:rFonts w:ascii="Verdana" w:hAnsi="Verdana" w:cs="Calibri"/>
          <w:color w:val="auto"/>
          <w:sz w:val="20"/>
          <w:szCs w:val="20"/>
        </w:rPr>
        <w:t>, referente ao ano de 2019 e 2020.</w:t>
      </w:r>
      <w:r w:rsidR="0043157E" w:rsidRPr="006F0811">
        <w:rPr>
          <w:rFonts w:ascii="Verdana" w:hAnsi="Verdana" w:cs="Calibri"/>
          <w:color w:val="auto"/>
          <w:sz w:val="20"/>
          <w:szCs w:val="20"/>
        </w:rPr>
        <w:t xml:space="preserve"> </w:t>
      </w:r>
    </w:p>
    <w:p w14:paraId="01E285B8" w14:textId="2AF3EC36" w:rsidR="001A20F3" w:rsidRPr="00CA3DFA" w:rsidRDefault="0043157E" w:rsidP="0043157E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Solicita-se, ainda, indicação do volume de passivo de lixiviado, se aplicável. Em caso afirmativo, indicação do plano para minimização e/ou extinção do passivo.</w:t>
      </w:r>
    </w:p>
    <w:p w14:paraId="69E1D47E" w14:textId="504A4B4A" w:rsidR="000C5357" w:rsidRPr="00CA3DFA" w:rsidRDefault="000C5357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Esclarecimento se é efetuado o encaminhamento do concentrado para aterro? Em caso afirmativo, solicita-se indicação do volume (anual e mensal), referente ao ano de 2019 e 2020.</w:t>
      </w:r>
    </w:p>
    <w:p w14:paraId="50DC60CC" w14:textId="0E598830" w:rsidR="00B37CF2" w:rsidRPr="00CA3DFA" w:rsidRDefault="0043157E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 xml:space="preserve">Tal como definido na </w:t>
      </w:r>
      <w:r w:rsidRPr="00CA3DFA">
        <w:rPr>
          <w:rFonts w:ascii="Verdana" w:hAnsi="Verdana" w:cs="Calibri"/>
          <w:color w:val="auto"/>
          <w:sz w:val="20"/>
          <w:szCs w:val="20"/>
        </w:rPr>
        <w:t>LA n.º 714/0.1/2018</w:t>
      </w:r>
      <w:r w:rsidR="00784E9D" w:rsidRPr="00CA3DFA">
        <w:rPr>
          <w:rFonts w:ascii="Verdana" w:hAnsi="Verdana" w:cs="Calibri"/>
          <w:color w:val="auto"/>
          <w:sz w:val="20"/>
          <w:szCs w:val="20"/>
        </w:rPr>
        <w:t>, “</w:t>
      </w:r>
      <w:r w:rsidR="003C1D44" w:rsidRPr="00CA3DFA">
        <w:rPr>
          <w:rFonts w:ascii="Verdana" w:hAnsi="Verdana" w:cs="Calibri"/>
          <w:i/>
          <w:sz w:val="20"/>
          <w:szCs w:val="20"/>
        </w:rPr>
        <w:t>Excecionalmente, o efluente tratado nas lagoas de regularização poderá ser encaminhado para a unidade de osmose inversa existente na instalação. Neste caso, as águas residuais tratadas nesta unidade poderão ser recirculadas para utilização na instalação, ou descarregadas no ponto de descarga ED1</w:t>
      </w:r>
      <w:r w:rsidR="00784E9D" w:rsidRPr="00CA3DFA">
        <w:rPr>
          <w:rFonts w:ascii="Verdana" w:hAnsi="Verdana" w:cs="Calibri"/>
          <w:i/>
          <w:sz w:val="20"/>
          <w:szCs w:val="20"/>
        </w:rPr>
        <w:t>”,</w:t>
      </w:r>
      <w:r w:rsidR="00784E9D" w:rsidRPr="00CA3DFA">
        <w:rPr>
          <w:rFonts w:ascii="Verdana" w:hAnsi="Verdana" w:cs="Calibri"/>
          <w:sz w:val="20"/>
          <w:szCs w:val="20"/>
        </w:rPr>
        <w:t xml:space="preserve"> deste modo, solicita-se esclarecimento se este procedimento </w:t>
      </w:r>
      <w:r w:rsidR="00784E9D" w:rsidRPr="00CA3DFA">
        <w:rPr>
          <w:rFonts w:ascii="Verdana" w:hAnsi="Verdana" w:cs="Calibri"/>
          <w:color w:val="auto"/>
          <w:sz w:val="20"/>
          <w:szCs w:val="20"/>
        </w:rPr>
        <w:t>se encontra atualmente a ser realizada na instalação. Em caso afirmativo, reformular o quadro Q25 do Formulário LUA.</w:t>
      </w:r>
    </w:p>
    <w:p w14:paraId="317A6128" w14:textId="77777777" w:rsidR="001A6480" w:rsidRPr="00CA3DFA" w:rsidRDefault="001A6480" w:rsidP="001A6480">
      <w:pPr>
        <w:spacing w:before="120" w:line="276" w:lineRule="auto"/>
        <w:ind w:right="567"/>
        <w:rPr>
          <w:rFonts w:ascii="Verdana" w:hAnsi="Verdana" w:cs="Calibri"/>
          <w:u w:val="single"/>
        </w:rPr>
      </w:pPr>
      <w:r w:rsidRPr="00CA3DFA">
        <w:rPr>
          <w:rFonts w:ascii="Verdana" w:hAnsi="Verdana" w:cs="Calibri"/>
          <w:u w:val="single"/>
        </w:rPr>
        <w:t xml:space="preserve">Relativamente ao </w:t>
      </w:r>
      <w:r w:rsidRPr="00CA3DFA">
        <w:rPr>
          <w:rFonts w:ascii="Verdana" w:hAnsi="Verdana" w:cs="Calibri"/>
          <w:b/>
          <w:u w:val="single"/>
        </w:rPr>
        <w:t>Módulo V – Emissões</w:t>
      </w:r>
      <w:r w:rsidRPr="00CA3DFA">
        <w:rPr>
          <w:rFonts w:ascii="Verdana" w:hAnsi="Verdana" w:cs="Calibri"/>
          <w:u w:val="single"/>
        </w:rPr>
        <w:t>, solicita-se:</w:t>
      </w:r>
    </w:p>
    <w:p w14:paraId="3EEDF65A" w14:textId="5D990BD3" w:rsidR="00B06928" w:rsidRPr="00CA3DFA" w:rsidRDefault="007B4AC5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Re</w:t>
      </w:r>
      <w:r w:rsidR="00B22986">
        <w:rPr>
          <w:rFonts w:ascii="Verdana" w:hAnsi="Verdana" w:cs="Calibri"/>
          <w:sz w:val="20"/>
          <w:szCs w:val="20"/>
        </w:rPr>
        <w:t>formulação dos quadros Q26, Q</w:t>
      </w:r>
      <w:bookmarkStart w:id="3" w:name="_GoBack"/>
      <w:bookmarkEnd w:id="3"/>
      <w:r w:rsidRPr="00CA3DFA">
        <w:rPr>
          <w:rFonts w:ascii="Verdana" w:hAnsi="Verdana" w:cs="Calibri"/>
          <w:sz w:val="20"/>
          <w:szCs w:val="20"/>
        </w:rPr>
        <w:t>27A e Q27B (nomeadamente a potência)</w:t>
      </w:r>
      <w:r w:rsidR="00CD0186" w:rsidRPr="00CA3DFA">
        <w:rPr>
          <w:rFonts w:ascii="Verdana" w:hAnsi="Verdana" w:cs="Calibri"/>
          <w:sz w:val="20"/>
          <w:szCs w:val="20"/>
        </w:rPr>
        <w:t>, dado que existem discrepâncias entre o definido na</w:t>
      </w:r>
      <w:r w:rsidRPr="006F0811">
        <w:rPr>
          <w:rFonts w:ascii="Verdana" w:hAnsi="Verdana" w:cs="Calibri"/>
          <w:sz w:val="20"/>
          <w:szCs w:val="20"/>
        </w:rPr>
        <w:t xml:space="preserve"> LA n.º 714/0.1/2018</w:t>
      </w:r>
      <w:r w:rsidR="00A41B06" w:rsidRPr="00CA3DFA">
        <w:rPr>
          <w:rFonts w:ascii="Verdana" w:hAnsi="Verdana" w:cs="Calibri"/>
          <w:sz w:val="20"/>
          <w:szCs w:val="20"/>
        </w:rPr>
        <w:t xml:space="preserve"> </w:t>
      </w:r>
      <w:r w:rsidR="002A29D0" w:rsidRPr="00CA3DFA">
        <w:rPr>
          <w:rFonts w:ascii="Verdana" w:hAnsi="Verdana" w:cs="Calibri"/>
          <w:sz w:val="20"/>
          <w:szCs w:val="20"/>
        </w:rPr>
        <w:t xml:space="preserve">e o </w:t>
      </w:r>
      <w:r w:rsidR="00A41B06" w:rsidRPr="00CA3DFA">
        <w:rPr>
          <w:rFonts w:ascii="Verdana" w:hAnsi="Verdana" w:cs="Calibri"/>
          <w:sz w:val="20"/>
          <w:szCs w:val="20"/>
        </w:rPr>
        <w:t>indicado no Formulário LUA.</w:t>
      </w:r>
      <w:r w:rsidR="00137157" w:rsidRPr="00CA3DFA">
        <w:rPr>
          <w:rFonts w:ascii="Verdana" w:hAnsi="Verdana" w:cs="Calibri"/>
          <w:sz w:val="20"/>
          <w:szCs w:val="20"/>
        </w:rPr>
        <w:t xml:space="preserve"> </w:t>
      </w:r>
    </w:p>
    <w:p w14:paraId="6CA14F78" w14:textId="6B2F8353" w:rsidR="00CA3DFA" w:rsidRPr="00CA3DFA" w:rsidRDefault="00CA3DFA" w:rsidP="00CA3DFA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Identificação, de quais os pontos de emissão de poluentes para a atmosfera na unidade de compostagem, bem como descrição do respetivo tratamento.</w:t>
      </w:r>
    </w:p>
    <w:p w14:paraId="4A10A4B9" w14:textId="6BB0EA66" w:rsidR="00B37CF2" w:rsidRPr="00CA3DFA" w:rsidRDefault="001A20F3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lastRenderedPageBreak/>
        <w:t>Esclarecer se foi efetuada a monitorização às fontes</w:t>
      </w:r>
      <w:r w:rsidR="007B4AC5" w:rsidRPr="00CA3DFA">
        <w:rPr>
          <w:rFonts w:ascii="Verdana" w:hAnsi="Verdana" w:cs="Calibri"/>
          <w:sz w:val="20"/>
          <w:szCs w:val="20"/>
        </w:rPr>
        <w:t xml:space="preserve"> pontuais, tal como referido na </w:t>
      </w:r>
      <w:r w:rsidR="007B4AC5" w:rsidRPr="006F0811">
        <w:rPr>
          <w:rFonts w:ascii="Verdana" w:hAnsi="Verdana" w:cs="Calibri"/>
          <w:sz w:val="20"/>
          <w:szCs w:val="20"/>
        </w:rPr>
        <w:t>LA n.º 714/0.1/2018</w:t>
      </w:r>
      <w:r w:rsidR="006A4FAA" w:rsidRPr="006F0811">
        <w:rPr>
          <w:rFonts w:ascii="Verdana" w:hAnsi="Verdana" w:cs="Calibri"/>
          <w:sz w:val="20"/>
          <w:szCs w:val="20"/>
        </w:rPr>
        <w:t>, solicitando-se a a</w:t>
      </w:r>
      <w:r w:rsidR="00B37CF2" w:rsidRPr="00CA3DFA">
        <w:rPr>
          <w:rFonts w:ascii="Verdana" w:hAnsi="Verdana" w:cs="Calibri"/>
          <w:sz w:val="20"/>
          <w:szCs w:val="20"/>
        </w:rPr>
        <w:t xml:space="preserve">presentação dos relatórios de monitorização </w:t>
      </w:r>
      <w:r w:rsidR="006A4FAA" w:rsidRPr="00CA3DFA">
        <w:rPr>
          <w:rFonts w:ascii="Verdana" w:hAnsi="Verdana" w:cs="Calibri"/>
          <w:sz w:val="20"/>
          <w:szCs w:val="20"/>
        </w:rPr>
        <w:t>efetuados</w:t>
      </w:r>
      <w:r w:rsidR="00CA3DFA">
        <w:rPr>
          <w:rFonts w:ascii="Verdana" w:hAnsi="Verdana" w:cs="Calibri"/>
          <w:sz w:val="20"/>
          <w:szCs w:val="20"/>
        </w:rPr>
        <w:t>.</w:t>
      </w:r>
    </w:p>
    <w:p w14:paraId="7B8C38BA" w14:textId="5635D8F6" w:rsidR="00B37CF2" w:rsidRPr="00CA3DFA" w:rsidRDefault="006A4FAA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Identificação das</w:t>
      </w:r>
      <w:r w:rsidR="001D3779" w:rsidRPr="00CA3DFA">
        <w:rPr>
          <w:rFonts w:ascii="Verdana" w:hAnsi="Verdana" w:cs="Calibri"/>
          <w:sz w:val="20"/>
          <w:szCs w:val="20"/>
        </w:rPr>
        <w:t xml:space="preserve"> fontes de emissão difusas e odores</w:t>
      </w:r>
      <w:r w:rsidRPr="00CA3DFA">
        <w:rPr>
          <w:rFonts w:ascii="Verdana" w:hAnsi="Verdana" w:cs="Calibri"/>
          <w:sz w:val="20"/>
          <w:szCs w:val="20"/>
        </w:rPr>
        <w:t xml:space="preserve"> em todas as operações/atividades realizadas no estabelecimento</w:t>
      </w:r>
      <w:r w:rsidR="001D3779" w:rsidRPr="00CA3DFA">
        <w:rPr>
          <w:rFonts w:ascii="Verdana" w:hAnsi="Verdana" w:cs="Calibri"/>
          <w:sz w:val="20"/>
          <w:szCs w:val="20"/>
        </w:rPr>
        <w:t xml:space="preserve">, </w:t>
      </w:r>
      <w:r w:rsidRPr="00CA3DFA">
        <w:rPr>
          <w:rFonts w:ascii="Verdana" w:hAnsi="Verdana" w:cs="Calibri"/>
          <w:sz w:val="20"/>
          <w:szCs w:val="20"/>
        </w:rPr>
        <w:t xml:space="preserve">bem como a </w:t>
      </w:r>
      <w:r w:rsidR="001D3779" w:rsidRPr="00CA3DFA">
        <w:rPr>
          <w:rFonts w:ascii="Verdana" w:hAnsi="Verdana" w:cs="Calibri"/>
          <w:sz w:val="20"/>
          <w:szCs w:val="20"/>
        </w:rPr>
        <w:t>sua caracterização e</w:t>
      </w:r>
      <w:r w:rsidRPr="00CA3DFA">
        <w:rPr>
          <w:rFonts w:ascii="Verdana" w:hAnsi="Verdana" w:cs="Calibri"/>
          <w:sz w:val="20"/>
          <w:szCs w:val="20"/>
        </w:rPr>
        <w:t xml:space="preserve"> c</w:t>
      </w:r>
      <w:r w:rsidR="00B37CF2" w:rsidRPr="00CA3DFA">
        <w:rPr>
          <w:rFonts w:ascii="Verdana" w:hAnsi="Verdana" w:cs="Calibri"/>
          <w:sz w:val="20"/>
          <w:szCs w:val="20"/>
        </w:rPr>
        <w:t>larificação de quais as téc</w:t>
      </w:r>
      <w:r w:rsidRPr="00CA3DFA">
        <w:rPr>
          <w:rFonts w:ascii="Verdana" w:hAnsi="Verdana" w:cs="Calibri"/>
          <w:sz w:val="20"/>
          <w:szCs w:val="20"/>
        </w:rPr>
        <w:t>nicas utilizadas/implementadas para a redução da emissão.</w:t>
      </w:r>
    </w:p>
    <w:p w14:paraId="4D692A83" w14:textId="67421F8B" w:rsidR="00B37CF2" w:rsidRPr="00CA3DFA" w:rsidRDefault="00B37CF2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 xml:space="preserve">Apresentação de plano de resposta aquando ocorrência de avarias na </w:t>
      </w:r>
      <w:r w:rsidR="001D3779" w:rsidRPr="00CA3DFA">
        <w:rPr>
          <w:rFonts w:ascii="Verdana" w:hAnsi="Verdana" w:cs="Calibri"/>
          <w:sz w:val="20"/>
          <w:szCs w:val="20"/>
        </w:rPr>
        <w:t>Unidade de Compostagem e Unidade de produção de CDR</w:t>
      </w:r>
      <w:r w:rsidRPr="00CA3DFA">
        <w:rPr>
          <w:rFonts w:ascii="Verdana" w:hAnsi="Verdana" w:cs="Calibri"/>
          <w:sz w:val="20"/>
          <w:szCs w:val="20"/>
        </w:rPr>
        <w:t>, e que podem implicar a paragem de funcionamento da mesma, e consequentemente a acumulação de resíduos.</w:t>
      </w:r>
    </w:p>
    <w:p w14:paraId="6971E5A8" w14:textId="24BBB45E" w:rsidR="001D3779" w:rsidRPr="00CA3DFA" w:rsidRDefault="006A4FAA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 xml:space="preserve">Preenchimento do quadro </w:t>
      </w:r>
      <w:r w:rsidR="001D3779" w:rsidRPr="00CA3DFA">
        <w:rPr>
          <w:rFonts w:ascii="Verdana" w:hAnsi="Verdana" w:cs="Calibri"/>
          <w:sz w:val="20"/>
          <w:szCs w:val="20"/>
        </w:rPr>
        <w:t>Q24</w:t>
      </w:r>
      <w:r w:rsidRPr="00CA3DFA">
        <w:rPr>
          <w:rFonts w:ascii="Verdana" w:hAnsi="Verdana" w:cs="Calibri"/>
          <w:sz w:val="20"/>
          <w:szCs w:val="20"/>
        </w:rPr>
        <w:t xml:space="preserve"> do Formulário LUA “</w:t>
      </w:r>
      <w:r w:rsidR="001D3779" w:rsidRPr="00CA3DFA">
        <w:rPr>
          <w:rFonts w:ascii="Verdana" w:hAnsi="Verdana" w:cs="Calibri"/>
          <w:sz w:val="20"/>
          <w:szCs w:val="20"/>
        </w:rPr>
        <w:t>Identificação de resíduos gerados nas etapas de tratament</w:t>
      </w:r>
      <w:r w:rsidRPr="00CA3DFA">
        <w:rPr>
          <w:rFonts w:ascii="Verdana" w:hAnsi="Verdana" w:cs="Calibri"/>
          <w:sz w:val="20"/>
          <w:szCs w:val="20"/>
        </w:rPr>
        <w:t>o de águas residuais”, se aplicável.</w:t>
      </w:r>
    </w:p>
    <w:p w14:paraId="3A00EAB2" w14:textId="7FE3435C" w:rsidR="001A20F3" w:rsidRPr="00CA3DFA" w:rsidRDefault="006A4FAA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 xml:space="preserve">Esclarecimento relativamente ao cumprimento da condição definida na </w:t>
      </w:r>
      <w:r w:rsidRPr="00CA3DFA">
        <w:rPr>
          <w:rFonts w:ascii="Verdana" w:hAnsi="Verdana" w:cs="Calibri"/>
          <w:color w:val="auto"/>
          <w:sz w:val="20"/>
          <w:szCs w:val="20"/>
        </w:rPr>
        <w:t>LA n.º 714/0.1/2018:</w:t>
      </w:r>
      <w:r w:rsidRPr="00CA3DFA">
        <w:rPr>
          <w:rFonts w:ascii="Verdana" w:hAnsi="Verdana" w:cs="Calibri"/>
          <w:sz w:val="20"/>
          <w:szCs w:val="20"/>
        </w:rPr>
        <w:t xml:space="preserve"> “</w:t>
      </w:r>
      <w:r w:rsidR="00B212A9" w:rsidRPr="00CA3DFA">
        <w:rPr>
          <w:rFonts w:ascii="Verdana" w:hAnsi="Verdana" w:cs="Calibri"/>
          <w:i/>
          <w:sz w:val="20"/>
          <w:szCs w:val="20"/>
        </w:rPr>
        <w:t>No que respeita à unidade de compostagem, o operador deverá elaborar um estudo, em sede de RAA (vide ponto 6.2 desta LA), indicando as medidas a adotar para a minimização das emissões difusas e produção de odores, provenientes da zona de compostagem, bem como um estudo da viabilidade de captação e canalização das mesmas, para um sistema de exaustão de poluentes atmosféricos</w:t>
      </w:r>
      <w:r w:rsidRPr="00CA3DFA">
        <w:rPr>
          <w:rFonts w:ascii="Verdana" w:hAnsi="Verdana" w:cs="Calibri"/>
          <w:sz w:val="20"/>
          <w:szCs w:val="20"/>
        </w:rPr>
        <w:t>”</w:t>
      </w:r>
      <w:r w:rsidR="00B212A9" w:rsidRPr="00CA3DFA">
        <w:rPr>
          <w:rFonts w:ascii="Verdana" w:hAnsi="Verdana" w:cs="Calibri"/>
          <w:sz w:val="20"/>
          <w:szCs w:val="20"/>
        </w:rPr>
        <w:t>.</w:t>
      </w:r>
    </w:p>
    <w:p w14:paraId="07AF0E6F" w14:textId="77777777" w:rsidR="00B37CF2" w:rsidRPr="00CA3DFA" w:rsidRDefault="00B37CF2" w:rsidP="00B37CF2">
      <w:pPr>
        <w:pStyle w:val="infotxt"/>
        <w:spacing w:line="276" w:lineRule="auto"/>
        <w:ind w:left="0" w:right="0"/>
        <w:rPr>
          <w:rFonts w:ascii="Verdana" w:hAnsi="Verdana" w:cs="Calibri"/>
        </w:rPr>
      </w:pPr>
      <w:r w:rsidRPr="00CA3DFA">
        <w:rPr>
          <w:rFonts w:ascii="Verdana" w:hAnsi="Verdana" w:cs="Calibri"/>
          <w:u w:val="single"/>
        </w:rPr>
        <w:t xml:space="preserve">Relativamente ao </w:t>
      </w:r>
      <w:r w:rsidRPr="00CA3DFA">
        <w:rPr>
          <w:rFonts w:ascii="Verdana" w:hAnsi="Verdana" w:cs="Calibri"/>
          <w:b/>
          <w:u w:val="single"/>
        </w:rPr>
        <w:t>Módulo IX – Peças desenhadas</w:t>
      </w:r>
      <w:r w:rsidRPr="00CA3DFA">
        <w:rPr>
          <w:rFonts w:ascii="Verdana" w:hAnsi="Verdana" w:cs="Calibri"/>
          <w:u w:val="single"/>
        </w:rPr>
        <w:t>, solicita-se</w:t>
      </w:r>
      <w:r w:rsidRPr="00CA3DFA">
        <w:rPr>
          <w:rFonts w:ascii="Verdana" w:hAnsi="Verdana" w:cs="Calibri"/>
        </w:rPr>
        <w:t>:</w:t>
      </w:r>
    </w:p>
    <w:p w14:paraId="522E1839" w14:textId="77777777" w:rsidR="00C243EF" w:rsidRPr="00CA3DFA" w:rsidRDefault="00C243EF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Reformular a planta geral do aterro, com a implantação de todas as infraestruturas que o compõem, assim como das redes de drenagem de águas residuais domésticas e industriais (lixiviados e outras) e pluviais, dos órgãos que integram os respetivos sistemas de tratamento, dos circuitos hidráulicos estabelecidos entre eles e do ponto de descarga na rede pública de drenagem de águas residuais, por forma a verificar-se concordância com a situação existente no terreno.</w:t>
      </w:r>
    </w:p>
    <w:p w14:paraId="4D641C2C" w14:textId="77777777" w:rsidR="00C243EF" w:rsidRPr="00CA3DFA" w:rsidRDefault="00C243EF" w:rsidP="00CA3DFA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Neste âmbito, deverá ser:</w:t>
      </w:r>
    </w:p>
    <w:p w14:paraId="1499992E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>Completada a legenda da peça desenhada com a identificação das redes de drenagem de águas residuais e pluviais e respetiva simbologia;</w:t>
      </w:r>
    </w:p>
    <w:p w14:paraId="63964157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>Esclarecida a razão pela qual foi eliminado o circuito hidráulico que permitia a ligação da central de bombagem/rede de incêndio à zona da ETAR compacta I; se se tratou de um lapso, deverá ser corrigido;</w:t>
      </w:r>
    </w:p>
    <w:p w14:paraId="16559953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>Esclarecido o motivo pelo qual na zona de armazenagem de materiais passou a haver uma caixa de visita que tem simultaneamente ligação às redes de drenagem de águas residuais (ETAR compacta I) e pluviais, quando anteriormente só tinha à rede de águas pluviais; se se tratou de um lapso, deverá ser retificado;</w:t>
      </w:r>
    </w:p>
    <w:p w14:paraId="6CE7BC26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>Reposto o circuito hidráulico de ligação da lagoa de regularização II à unidade de osmose inversa, que foi eliminado;</w:t>
      </w:r>
    </w:p>
    <w:p w14:paraId="1129E416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>Eliminado um dos dois circuitos hidráulicos praticamente sobrepostos de saída da osmose inversa para a lagoa de água tratada; julga-se que se tratou de um lapso;</w:t>
      </w:r>
    </w:p>
    <w:p w14:paraId="0F1FD139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 xml:space="preserve">Esclarecido se os circuitos de águas residuais provenientes da lagoa de regularização I, da ETAR compacta I e da lagoa de água tratada se intersectam conforme consta da planta, para serem encaminhados para o ponto de descarga na rede pública de drenagem de águas residuais; afigura-se que esta situação poderá não estar correta, uma vez que o efluente seria supostamente descarregado na rede pública somente a partir da lagoa de regularização II, órgão este que, direta ou indiretamente, receberia todos os </w:t>
      </w:r>
      <w:r w:rsidRPr="00CA3DFA">
        <w:rPr>
          <w:rFonts w:ascii="Verdana" w:hAnsi="Verdana" w:cstheme="minorHAnsi"/>
        </w:rPr>
        <w:lastRenderedPageBreak/>
        <w:t>efluentes produzidos na instalação; caso se trate de um lapso, deverá ser corrigido;</w:t>
      </w:r>
    </w:p>
    <w:p w14:paraId="52AA3825" w14:textId="77777777" w:rsidR="00C243EF" w:rsidRPr="00CA3DFA" w:rsidRDefault="00C243EF" w:rsidP="00DA43E6">
      <w:pPr>
        <w:pStyle w:val="Cabealho"/>
        <w:numPr>
          <w:ilvl w:val="0"/>
          <w:numId w:val="15"/>
        </w:numPr>
        <w:tabs>
          <w:tab w:val="clear" w:pos="4252"/>
          <w:tab w:val="clear" w:pos="8504"/>
        </w:tabs>
        <w:spacing w:before="120"/>
        <w:ind w:left="1276" w:right="567" w:hanging="284"/>
        <w:rPr>
          <w:rFonts w:ascii="Verdana" w:hAnsi="Verdana" w:cstheme="minorHAnsi"/>
        </w:rPr>
      </w:pPr>
      <w:r w:rsidRPr="00CA3DFA">
        <w:rPr>
          <w:rFonts w:ascii="Verdana" w:hAnsi="Verdana" w:cstheme="minorHAnsi"/>
        </w:rPr>
        <w:t>Representado o circuito hidráulico de saída da lagoa de regularização II, a partir do qual é efetuado o encaminhamento do efluente para descarga na rede pública de drenagem de águas residuais.</w:t>
      </w:r>
    </w:p>
    <w:p w14:paraId="6738C55F" w14:textId="77777777" w:rsidR="00C243EF" w:rsidRPr="00CA3DFA" w:rsidRDefault="00C243EF" w:rsidP="00CA3DFA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  <w:u w:val="single"/>
        </w:rPr>
        <w:t>Nota</w:t>
      </w:r>
      <w:r w:rsidRPr="00CA3DFA">
        <w:rPr>
          <w:rFonts w:ascii="Verdana" w:hAnsi="Verdana" w:cs="Calibri"/>
          <w:sz w:val="20"/>
          <w:szCs w:val="20"/>
        </w:rPr>
        <w:t>:</w:t>
      </w:r>
    </w:p>
    <w:p w14:paraId="6B8BFE98" w14:textId="2B3AB34C" w:rsidR="00C243EF" w:rsidRPr="00CA3DFA" w:rsidRDefault="00C243EF" w:rsidP="00CA3DFA">
      <w:pPr>
        <w:pStyle w:val="PargrafodaLista"/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As correções que eram necessárias realizar na planta de implantação das redes de drenagem de águas residuais da instalação, e que já tinham sido previamente solicitadas, inclusivamente durante a vistoria, foram efetuadas na sua totalidade.</w:t>
      </w:r>
      <w:r w:rsidR="00CA3DFA" w:rsidRPr="00CA3DFA">
        <w:rPr>
          <w:rFonts w:ascii="Verdana" w:hAnsi="Verdana" w:cs="Calibri"/>
          <w:sz w:val="20"/>
          <w:szCs w:val="20"/>
        </w:rPr>
        <w:t xml:space="preserve"> </w:t>
      </w:r>
      <w:r w:rsidRPr="00CA3DFA">
        <w:rPr>
          <w:rFonts w:ascii="Verdana" w:hAnsi="Verdana" w:cs="Calibri"/>
          <w:sz w:val="20"/>
          <w:szCs w:val="20"/>
        </w:rPr>
        <w:t xml:space="preserve">Contudo, foram realizadas outras alterações nessa planta, que carecem de </w:t>
      </w:r>
      <w:r w:rsidR="00CA3DFA" w:rsidRPr="00CA3DFA">
        <w:rPr>
          <w:rFonts w:ascii="Verdana" w:hAnsi="Verdana" w:cs="Calibri"/>
          <w:sz w:val="20"/>
          <w:szCs w:val="20"/>
        </w:rPr>
        <w:t>esclarecimento e/ou retificação</w:t>
      </w:r>
      <w:r w:rsidRPr="00CA3DFA">
        <w:rPr>
          <w:rFonts w:ascii="Verdana" w:hAnsi="Verdana" w:cs="Calibri"/>
          <w:sz w:val="20"/>
          <w:szCs w:val="20"/>
        </w:rPr>
        <w:t>.</w:t>
      </w:r>
    </w:p>
    <w:p w14:paraId="05EF3F76" w14:textId="77777777" w:rsidR="00B37CF2" w:rsidRPr="00CA3DFA" w:rsidRDefault="00B37CF2" w:rsidP="00B37CF2">
      <w:pPr>
        <w:spacing w:before="120" w:line="276" w:lineRule="auto"/>
        <w:ind w:right="567"/>
        <w:rPr>
          <w:rFonts w:ascii="Verdana" w:hAnsi="Verdana" w:cs="Calibri"/>
          <w:u w:val="single"/>
        </w:rPr>
      </w:pPr>
      <w:r w:rsidRPr="00CA3DFA">
        <w:rPr>
          <w:rFonts w:ascii="Verdana" w:hAnsi="Verdana" w:cs="Calibri"/>
          <w:u w:val="single"/>
        </w:rPr>
        <w:t xml:space="preserve">Relativamente ao </w:t>
      </w:r>
      <w:r w:rsidRPr="00CA3DFA">
        <w:rPr>
          <w:rFonts w:ascii="Verdana" w:hAnsi="Verdana" w:cs="Calibri"/>
          <w:b/>
          <w:u w:val="single"/>
        </w:rPr>
        <w:t>Módulo XII – Licenciamento Ambiental</w:t>
      </w:r>
      <w:r w:rsidRPr="00CA3DFA">
        <w:rPr>
          <w:rFonts w:ascii="Verdana" w:hAnsi="Verdana" w:cs="Calibri"/>
          <w:u w:val="single"/>
        </w:rPr>
        <w:t>, solicita-se:</w:t>
      </w:r>
    </w:p>
    <w:p w14:paraId="46623635" w14:textId="77777777" w:rsidR="00B37CF2" w:rsidRPr="00CA3DFA" w:rsidRDefault="00B37CF2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 xml:space="preserve">De modo a determinar a necessidade de elaboração do </w:t>
      </w:r>
      <w:r w:rsidRPr="00DA43E6">
        <w:rPr>
          <w:rFonts w:ascii="Verdana" w:hAnsi="Verdana" w:cs="Calibri"/>
          <w:sz w:val="20"/>
          <w:szCs w:val="20"/>
          <w:u w:val="single"/>
        </w:rPr>
        <w:t>Relatório de Base</w:t>
      </w:r>
      <w:r w:rsidRPr="00CA3DFA">
        <w:rPr>
          <w:rFonts w:ascii="Verdana" w:hAnsi="Verdana" w:cs="Calibri"/>
          <w:sz w:val="20"/>
          <w:szCs w:val="20"/>
        </w:rPr>
        <w:t xml:space="preserve"> previso no n.º 1 do artigo 42.º do Diploma REI, deve ser enviada uma </w:t>
      </w:r>
      <w:r w:rsidR="00F25297" w:rsidRPr="00CA3DFA">
        <w:rPr>
          <w:rFonts w:ascii="Verdana" w:hAnsi="Verdana" w:cs="Calibri"/>
          <w:sz w:val="20"/>
          <w:szCs w:val="20"/>
        </w:rPr>
        <w:t xml:space="preserve">nova </w:t>
      </w:r>
      <w:r w:rsidRPr="00CA3DFA">
        <w:rPr>
          <w:rFonts w:ascii="Verdana" w:hAnsi="Verdana" w:cs="Calibri"/>
          <w:sz w:val="20"/>
          <w:szCs w:val="20"/>
        </w:rPr>
        <w:t>avaliação das substâncias perigosas relevantes, efetuada de acordo com as orientações constantes da Nota Interpretativa n.º 5/2014, de 17.04.2014, disponível em www.apambiente.pt/Licenciamento Ambiental.</w:t>
      </w:r>
    </w:p>
    <w:p w14:paraId="19534978" w14:textId="77777777" w:rsidR="00B37CF2" w:rsidRPr="00CA3DFA" w:rsidRDefault="00B37CF2" w:rsidP="006F0811">
      <w:pPr>
        <w:pStyle w:val="PargrafodaLista"/>
        <w:numPr>
          <w:ilvl w:val="0"/>
          <w:numId w:val="10"/>
        </w:numPr>
        <w:spacing w:before="120" w:after="120" w:line="276" w:lineRule="auto"/>
        <w:ind w:left="567" w:right="567"/>
        <w:jc w:val="both"/>
        <w:rPr>
          <w:rFonts w:ascii="Verdana" w:hAnsi="Verdana" w:cs="Calibri"/>
          <w:sz w:val="20"/>
          <w:szCs w:val="20"/>
        </w:rPr>
      </w:pPr>
      <w:r w:rsidRPr="00CA3DFA">
        <w:rPr>
          <w:rFonts w:ascii="Verdana" w:hAnsi="Verdana" w:cs="Calibri"/>
          <w:sz w:val="20"/>
          <w:szCs w:val="20"/>
        </w:rPr>
        <w:t>Apresentação da avaliação detalhada e atualizada do ponto de situação face à implementação das Melhores Técnicas Disponíveis (MTD) descritas no documento de referência (</w:t>
      </w:r>
      <w:r w:rsidRPr="006F0811">
        <w:rPr>
          <w:rFonts w:ascii="Verdana" w:hAnsi="Verdana" w:cs="Calibri"/>
          <w:i/>
          <w:sz w:val="20"/>
          <w:szCs w:val="20"/>
        </w:rPr>
        <w:t>Reference Document on Best Available Techniques for Waste Treatments Industries – BREF WT</w:t>
      </w:r>
      <w:r w:rsidRPr="00CA3DFA">
        <w:rPr>
          <w:rFonts w:ascii="Verdana" w:hAnsi="Verdana" w:cs="Calibri"/>
          <w:sz w:val="20"/>
          <w:szCs w:val="20"/>
        </w:rPr>
        <w:t xml:space="preserve">, Comissão Europeia). </w:t>
      </w:r>
    </w:p>
    <w:p w14:paraId="2B3637F8" w14:textId="77777777" w:rsidR="00B37CF2" w:rsidRPr="00CA3DFA" w:rsidRDefault="00B37CF2" w:rsidP="00B37CF2">
      <w:pPr>
        <w:pStyle w:val="infotxt"/>
        <w:spacing w:line="276" w:lineRule="auto"/>
        <w:ind w:right="567"/>
        <w:rPr>
          <w:rFonts w:ascii="Verdana" w:hAnsi="Verdana" w:cs="Calibri"/>
          <w:color w:val="000000"/>
          <w:lang w:eastAsia="en-US"/>
        </w:rPr>
      </w:pPr>
      <w:r w:rsidRPr="00CA3DFA">
        <w:rPr>
          <w:rFonts w:ascii="Verdana" w:hAnsi="Verdana" w:cs="Calibri"/>
          <w:color w:val="000000"/>
          <w:lang w:eastAsia="en-US"/>
        </w:rPr>
        <w:t>Para além deste documento de referência deverá ser avaliada a implementação das MTD descritas em:</w:t>
      </w:r>
    </w:p>
    <w:p w14:paraId="5A0DE17C" w14:textId="77777777" w:rsidR="00B37CF2" w:rsidRPr="00CA3DFA" w:rsidRDefault="00B37CF2" w:rsidP="00B37CF2">
      <w:pPr>
        <w:pStyle w:val="infotxt"/>
        <w:numPr>
          <w:ilvl w:val="0"/>
          <w:numId w:val="4"/>
        </w:numPr>
        <w:spacing w:line="276" w:lineRule="auto"/>
        <w:ind w:left="1134" w:right="567"/>
        <w:rPr>
          <w:rFonts w:ascii="Verdana" w:hAnsi="Verdana" w:cs="Calibri"/>
          <w:lang w:val="en-GB"/>
        </w:rPr>
      </w:pPr>
      <w:r w:rsidRPr="00CA3DFA">
        <w:rPr>
          <w:rFonts w:ascii="Verdana" w:hAnsi="Verdana" w:cs="Calibri"/>
          <w:lang w:val="en-GB"/>
        </w:rPr>
        <w:t xml:space="preserve">BREF ENE - </w:t>
      </w:r>
      <w:r w:rsidRPr="00CA3DFA">
        <w:rPr>
          <w:rFonts w:ascii="Verdana" w:hAnsi="Verdana" w:cs="Calibri"/>
          <w:i/>
          <w:lang w:val="en-GB"/>
        </w:rPr>
        <w:t>Reference Document on Best Available Techniques for Energy Efficiency</w:t>
      </w:r>
      <w:r w:rsidRPr="00CA3DFA">
        <w:rPr>
          <w:rFonts w:ascii="Verdana" w:hAnsi="Verdana" w:cs="Calibri"/>
          <w:lang w:val="en-GB"/>
        </w:rPr>
        <w:t>;</w:t>
      </w:r>
    </w:p>
    <w:p w14:paraId="61903B52" w14:textId="77777777" w:rsidR="00B37CF2" w:rsidRPr="00CA3DFA" w:rsidRDefault="00B37CF2" w:rsidP="00B37CF2">
      <w:pPr>
        <w:pStyle w:val="infotxt"/>
        <w:numPr>
          <w:ilvl w:val="0"/>
          <w:numId w:val="4"/>
        </w:numPr>
        <w:spacing w:line="276" w:lineRule="auto"/>
        <w:ind w:left="1134" w:right="567"/>
        <w:rPr>
          <w:rFonts w:ascii="Verdana" w:hAnsi="Verdana" w:cs="Calibri"/>
          <w:lang w:val="en-GB"/>
        </w:rPr>
      </w:pPr>
      <w:r w:rsidRPr="00CA3DFA">
        <w:rPr>
          <w:rFonts w:ascii="Verdana" w:hAnsi="Verdana" w:cs="Calibri"/>
          <w:lang w:val="en-GB"/>
        </w:rPr>
        <w:t xml:space="preserve">REF ROM - </w:t>
      </w:r>
      <w:r w:rsidRPr="00CA3DFA">
        <w:rPr>
          <w:rFonts w:ascii="Verdana" w:hAnsi="Verdana" w:cs="Calibri"/>
          <w:i/>
          <w:lang w:val="en-GB"/>
        </w:rPr>
        <w:t>Reference Document Monitoring of emissions from IED - installations</w:t>
      </w:r>
      <w:r w:rsidRPr="00CA3DFA">
        <w:rPr>
          <w:rFonts w:ascii="Verdana" w:hAnsi="Verdana" w:cs="Calibri"/>
          <w:lang w:val="en-GB"/>
        </w:rPr>
        <w:t>;</w:t>
      </w:r>
    </w:p>
    <w:p w14:paraId="75409A7E" w14:textId="77777777" w:rsidR="00B37CF2" w:rsidRPr="00CA3DFA" w:rsidRDefault="00B37CF2" w:rsidP="00B37CF2">
      <w:pPr>
        <w:pStyle w:val="infotxt"/>
        <w:numPr>
          <w:ilvl w:val="0"/>
          <w:numId w:val="4"/>
        </w:numPr>
        <w:spacing w:line="276" w:lineRule="auto"/>
        <w:ind w:left="1134" w:right="567"/>
        <w:rPr>
          <w:rFonts w:ascii="Verdana" w:hAnsi="Verdana" w:cs="Calibri"/>
          <w:lang w:val="en-GB"/>
        </w:rPr>
      </w:pPr>
      <w:r w:rsidRPr="00CA3DFA">
        <w:rPr>
          <w:rFonts w:ascii="Verdana" w:hAnsi="Verdana" w:cs="Calibri"/>
          <w:lang w:val="en-GB"/>
        </w:rPr>
        <w:t xml:space="preserve">BREF EFS – </w:t>
      </w:r>
      <w:r w:rsidRPr="00CA3DFA">
        <w:rPr>
          <w:rFonts w:ascii="Verdana" w:hAnsi="Verdana" w:cs="Calibri"/>
          <w:i/>
          <w:lang w:val="en-GB"/>
        </w:rPr>
        <w:t>Reference Document on Best Available Techniques on Emissions from Storage</w:t>
      </w:r>
      <w:r w:rsidRPr="00CA3DFA">
        <w:rPr>
          <w:rFonts w:ascii="Verdana" w:hAnsi="Verdana" w:cs="Calibri"/>
          <w:lang w:val="en-GB"/>
        </w:rPr>
        <w:t>.</w:t>
      </w:r>
    </w:p>
    <w:p w14:paraId="4A73CE95" w14:textId="7B0F6EC8" w:rsidR="00B37CF2" w:rsidRPr="00CA3DFA" w:rsidRDefault="00B37CF2" w:rsidP="00B37CF2">
      <w:pPr>
        <w:pStyle w:val="infotxt"/>
        <w:spacing w:line="276" w:lineRule="auto"/>
        <w:ind w:right="567"/>
        <w:rPr>
          <w:rFonts w:ascii="Verdana" w:hAnsi="Verdana" w:cs="Calibri"/>
        </w:rPr>
      </w:pPr>
      <w:r w:rsidRPr="00CA3DFA">
        <w:rPr>
          <w:rFonts w:ascii="Verdana" w:hAnsi="Verdana" w:cs="Calibri"/>
        </w:rPr>
        <w:t xml:space="preserve">Alerta-se que, caso sejam aplicáveis à instalação, as MTD são de implementação obrigatória. No entanto, se esta implementação se mostrar técnica e economicamente inviável, poderá a instalação aplicar o REF ECM - </w:t>
      </w:r>
      <w:r w:rsidRPr="00CA3DFA">
        <w:rPr>
          <w:rFonts w:ascii="Verdana" w:hAnsi="Verdana" w:cs="Calibri"/>
          <w:i/>
        </w:rPr>
        <w:t>Reference Document on Economics and Cross-media Effects</w:t>
      </w:r>
      <w:r w:rsidRPr="00CA3DFA">
        <w:rPr>
          <w:rFonts w:ascii="Verdana" w:hAnsi="Verdana" w:cs="Calibri"/>
        </w:rPr>
        <w:t>, com vista a justificar, através de uma análise custo-benefício, a não implementação de determinada MTD.</w:t>
      </w:r>
    </w:p>
    <w:p w14:paraId="57C8F8E1" w14:textId="77777777" w:rsidR="00B37CF2" w:rsidRPr="00CA3DFA" w:rsidRDefault="00B37CF2" w:rsidP="00B37CF2">
      <w:pPr>
        <w:pStyle w:val="infotxt"/>
        <w:spacing w:line="276" w:lineRule="auto"/>
        <w:ind w:right="567"/>
        <w:rPr>
          <w:rFonts w:ascii="Verdana" w:hAnsi="Verdana" w:cs="Calibri"/>
        </w:rPr>
      </w:pPr>
      <w:r w:rsidRPr="00CA3DFA">
        <w:rPr>
          <w:rFonts w:ascii="Verdana" w:hAnsi="Verdana" w:cs="Calibri"/>
        </w:rPr>
        <w:t xml:space="preserve">A avaliação detalhada sobre a implementação das MTD à instalação, descrita nos BREF aplicáveis (disponíveis em http://eippcb.jrc.ec.europa.eu/reference/) e solicitada nos pontos anteriores, deverá ser efetuada recorrendo ao </w:t>
      </w:r>
      <w:r w:rsidRPr="00CA3DFA">
        <w:rPr>
          <w:rFonts w:ascii="Verdana" w:hAnsi="Verdana" w:cs="Calibri"/>
          <w:i/>
        </w:rPr>
        <w:t>template</w:t>
      </w:r>
      <w:r w:rsidRPr="00CA3DFA">
        <w:rPr>
          <w:rFonts w:ascii="Verdana" w:hAnsi="Verdana" w:cs="Calibri"/>
        </w:rPr>
        <w:t xml:space="preserve"> disponível no </w:t>
      </w:r>
      <w:r w:rsidRPr="00CA3DFA">
        <w:rPr>
          <w:rFonts w:ascii="Verdana" w:hAnsi="Verdana" w:cs="Calibri"/>
          <w:i/>
        </w:rPr>
        <w:t>site</w:t>
      </w:r>
      <w:r w:rsidRPr="00CA3DFA">
        <w:rPr>
          <w:rFonts w:ascii="Verdana" w:hAnsi="Verdana" w:cs="Calibri"/>
        </w:rPr>
        <w:t xml:space="preserve"> de internet da APA (www.apambiente.pt/ Instrumentos &gt; Licenciamento Ambiental (PCIP) &gt; Documentos de Referência sobre MTD (BREF) &gt; Sistematização das MTD).</w:t>
      </w:r>
    </w:p>
    <w:p w14:paraId="5400A5E8" w14:textId="77777777" w:rsidR="00B37CF2" w:rsidRPr="00CA3DFA" w:rsidRDefault="00B37CF2" w:rsidP="00B37CF2">
      <w:pPr>
        <w:pStyle w:val="infotxt"/>
        <w:spacing w:line="276" w:lineRule="auto"/>
        <w:ind w:right="567"/>
        <w:rPr>
          <w:rFonts w:ascii="Verdana" w:hAnsi="Verdana" w:cs="Calibri"/>
        </w:rPr>
      </w:pPr>
    </w:p>
    <w:p w14:paraId="37E98AC6" w14:textId="08B3AF2A" w:rsidR="00B37CF2" w:rsidRPr="00CA3DFA" w:rsidRDefault="00B37CF2" w:rsidP="00CA3DFA">
      <w:pPr>
        <w:spacing w:before="120" w:after="120" w:line="276" w:lineRule="auto"/>
        <w:ind w:right="567"/>
        <w:rPr>
          <w:rFonts w:ascii="Verdana" w:hAnsi="Verdana" w:cs="Calibri"/>
        </w:rPr>
      </w:pPr>
      <w:r w:rsidRPr="00CA3DFA">
        <w:rPr>
          <w:rFonts w:ascii="Verdana" w:hAnsi="Verdana" w:cs="Calibri"/>
        </w:rPr>
        <w:t>No que respeita ao composto produzido na U</w:t>
      </w:r>
      <w:r w:rsidR="00961D76" w:rsidRPr="00CA3DFA">
        <w:rPr>
          <w:rFonts w:ascii="Verdana" w:hAnsi="Verdana" w:cs="Calibri"/>
        </w:rPr>
        <w:t>nidade de Compostagem</w:t>
      </w:r>
      <w:r w:rsidRPr="00CA3DFA">
        <w:rPr>
          <w:rFonts w:ascii="Verdana" w:hAnsi="Verdana" w:cs="Calibri"/>
        </w:rPr>
        <w:t xml:space="preserve">, realça-se que o mesmo deverá cumprir com as regras estabelecidas no Decreto-Lei n.º 103/2015, de 15 de junho, que estabelece as regras a que deve obedecer a colocação no mercado de matérias fertilizantes, assegurando, simultaneamente, a execução na ordem jurídica </w:t>
      </w:r>
      <w:r w:rsidRPr="00CA3DFA">
        <w:rPr>
          <w:rFonts w:ascii="Verdana" w:hAnsi="Verdana" w:cs="Calibri"/>
        </w:rPr>
        <w:lastRenderedPageBreak/>
        <w:t>interna das obrigações decorrentes no Regulamento (CE) n.º 2003/2003, do Parlamento Europeu e do Conselho, de 13 de outubro de 2003, relativo aos adubos.</w:t>
      </w:r>
    </w:p>
    <w:p w14:paraId="120CD18F" w14:textId="77777777" w:rsidR="00B37CF2" w:rsidRPr="00CA3DFA" w:rsidRDefault="00B37CF2" w:rsidP="00AE307A">
      <w:pPr>
        <w:spacing w:before="120" w:line="276" w:lineRule="auto"/>
        <w:ind w:right="567"/>
        <w:rPr>
          <w:rFonts w:ascii="Verdana" w:hAnsi="Verdana" w:cs="Calibri"/>
          <w:u w:val="single"/>
        </w:rPr>
      </w:pPr>
    </w:p>
    <w:p w14:paraId="10D01373" w14:textId="77777777" w:rsidR="00300146" w:rsidRPr="00CA3DFA" w:rsidRDefault="00300146" w:rsidP="00AE307A">
      <w:pPr>
        <w:tabs>
          <w:tab w:val="left" w:pos="993"/>
          <w:tab w:val="left" w:pos="9214"/>
        </w:tabs>
        <w:spacing w:before="120" w:after="120" w:line="276" w:lineRule="auto"/>
        <w:ind w:right="567"/>
        <w:rPr>
          <w:rFonts w:ascii="Verdana" w:hAnsi="Verdana" w:cs="Arial"/>
        </w:rPr>
      </w:pPr>
      <w:r w:rsidRPr="00CA3DFA">
        <w:rPr>
          <w:rFonts w:ascii="Verdana" w:hAnsi="Verdana" w:cs="Arial"/>
        </w:rPr>
        <w:t>Todos os elementos solicitados deverão ser claramente identificados como sendo documentos de aditamento aos inicialmente entregues, aquando o pedido de alteração à Licença Ambiental. Após resposta ao presente pedido de elementos, será iniciada a prossecução da fase de avaliação técnica e colocação do pedido em consulta pública.</w:t>
      </w:r>
    </w:p>
    <w:p w14:paraId="1986D49B" w14:textId="77777777" w:rsidR="00E73CD5" w:rsidRPr="00CA3DFA" w:rsidRDefault="00300146" w:rsidP="00AE307A">
      <w:pPr>
        <w:tabs>
          <w:tab w:val="left" w:pos="993"/>
          <w:tab w:val="left" w:pos="9214"/>
        </w:tabs>
        <w:spacing w:before="120" w:after="120" w:line="276" w:lineRule="auto"/>
        <w:ind w:right="567"/>
        <w:rPr>
          <w:rFonts w:ascii="Verdana" w:hAnsi="Verdana" w:cs="Arial"/>
        </w:rPr>
      </w:pPr>
      <w:r w:rsidRPr="00CA3DFA">
        <w:rPr>
          <w:rFonts w:ascii="Verdana" w:hAnsi="Verdana" w:cs="Arial"/>
        </w:rPr>
        <w:t>Salienta-se que, de acordo com o art.º 39.º do Diploma REI, todos os elementos constantes do pedido de Licença Ambiental são divulgados, de forma a garantir a informação e a participação do público, exceto documentos objeto de segredo comercial ou industrial, que devem ser tratados de acordo com a legislação aplicável pelo que, caso qualquer algum dos elementos a apresentar (ou já apresentados) se enquadre nessa situação, deverá ser apresentada justificação fundamentada e serem devidamente identificados. No caso de existirem novos elementos a apresentar objeto de segredo comercial ou industrial, deverão os m</w:t>
      </w:r>
      <w:r w:rsidR="00AE307A" w:rsidRPr="00CA3DFA">
        <w:rPr>
          <w:rFonts w:ascii="Verdana" w:hAnsi="Verdana" w:cs="Arial"/>
        </w:rPr>
        <w:t>esmos ser apresentados à parte.</w:t>
      </w:r>
    </w:p>
    <w:p w14:paraId="64971021" w14:textId="77777777" w:rsidR="00D73C0D" w:rsidRPr="00CA3DFA" w:rsidRDefault="00D73C0D" w:rsidP="00AE307A">
      <w:pPr>
        <w:tabs>
          <w:tab w:val="left" w:pos="993"/>
          <w:tab w:val="left" w:pos="9214"/>
        </w:tabs>
        <w:spacing w:before="120" w:after="120" w:line="276" w:lineRule="auto"/>
        <w:ind w:right="567"/>
        <w:rPr>
          <w:rFonts w:asciiTheme="minorHAnsi" w:hAnsiTheme="minorHAnsi" w:cs="Arial"/>
        </w:rPr>
      </w:pPr>
    </w:p>
    <w:p w14:paraId="1252A951" w14:textId="77777777" w:rsidR="00D73C0D" w:rsidRPr="00CA3DFA" w:rsidRDefault="00D73C0D" w:rsidP="00AE307A">
      <w:pPr>
        <w:tabs>
          <w:tab w:val="left" w:pos="993"/>
          <w:tab w:val="left" w:pos="9214"/>
        </w:tabs>
        <w:spacing w:before="120" w:after="120" w:line="276" w:lineRule="auto"/>
        <w:ind w:right="567"/>
        <w:rPr>
          <w:rFonts w:asciiTheme="minorHAnsi" w:hAnsiTheme="minorHAnsi" w:cs="Arial"/>
        </w:rPr>
      </w:pPr>
    </w:p>
    <w:sectPr w:rsidR="00D73C0D" w:rsidRPr="00CA3DFA" w:rsidSect="00E73CD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083" w:right="843" w:bottom="1134" w:left="1418" w:header="731" w:footer="5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977DA" w14:textId="77777777" w:rsidR="00FD516A" w:rsidRDefault="00FD516A">
      <w:r>
        <w:separator/>
      </w:r>
    </w:p>
  </w:endnote>
  <w:endnote w:type="continuationSeparator" w:id="0">
    <w:p w14:paraId="609D718D" w14:textId="77777777" w:rsidR="00FD516A" w:rsidRDefault="00FD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A24AA" w14:textId="77777777" w:rsidR="00FD516A" w:rsidRDefault="00FD51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8D4F05" w14:textId="77777777" w:rsidR="00FD516A" w:rsidRDefault="00FD516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2CDE" w14:textId="77777777" w:rsidR="00FD516A" w:rsidRDefault="00FD516A">
    <w:pPr>
      <w:pStyle w:val="Rodap"/>
      <w:framePr w:wrap="around" w:vAnchor="text" w:hAnchor="page" w:x="10801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298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5340715" w14:textId="77777777" w:rsidR="00FD516A" w:rsidRDefault="00FD516A">
    <w:pPr>
      <w:pStyle w:val="Footerp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552F" w14:textId="77777777" w:rsidR="00FD516A" w:rsidRDefault="00FD516A" w:rsidP="00E73CD5">
    <w:pPr>
      <w:pStyle w:val="FooterTXT"/>
      <w:pBdr>
        <w:top w:val="single" w:sz="4" w:space="2" w:color="auto"/>
      </w:pBdr>
      <w:ind w:left="0" w:right="-1"/>
      <w:jc w:val="both"/>
      <w:rPr>
        <w:sz w:val="14"/>
        <w:lang w:val="en-US"/>
      </w:rPr>
    </w:pPr>
  </w:p>
  <w:tbl>
    <w:tblPr>
      <w:tblW w:w="10205" w:type="dxa"/>
      <w:tblInd w:w="-34" w:type="dxa"/>
      <w:tblLook w:val="04A0" w:firstRow="1" w:lastRow="0" w:firstColumn="1" w:lastColumn="0" w:noHBand="0" w:noVBand="1"/>
    </w:tblPr>
    <w:tblGrid>
      <w:gridCol w:w="4253"/>
      <w:gridCol w:w="1984"/>
      <w:gridCol w:w="3968"/>
    </w:tblGrid>
    <w:tr w:rsidR="00FD516A" w:rsidRPr="00EA33B0" w14:paraId="445E6973" w14:textId="77777777" w:rsidTr="00E73CD5">
      <w:tc>
        <w:tcPr>
          <w:tcW w:w="4253" w:type="dxa"/>
        </w:tcPr>
        <w:p w14:paraId="108C95F6" w14:textId="77777777" w:rsidR="00FD516A" w:rsidRPr="00EE1367" w:rsidRDefault="00FD516A" w:rsidP="00E73CD5">
          <w:pPr>
            <w:pStyle w:val="FooterTXT"/>
            <w:ind w:left="0" w:right="-291"/>
            <w:jc w:val="both"/>
            <w:rPr>
              <w:sz w:val="14"/>
              <w:lang w:val="en-US"/>
            </w:rPr>
          </w:pPr>
          <w:r>
            <w:rPr>
              <w:noProof/>
              <w:sz w:val="14"/>
            </w:rPr>
            <w:drawing>
              <wp:inline distT="0" distB="0" distL="0" distR="0" wp14:anchorId="54231C83" wp14:editId="6209AAB9">
                <wp:extent cx="1538525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A_p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3269" cy="769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7C61C672" w14:textId="77777777" w:rsidR="00FD516A" w:rsidRPr="00EE1367" w:rsidRDefault="00FD516A" w:rsidP="00E73CD5">
          <w:pPr>
            <w:pStyle w:val="FooterTXT"/>
            <w:ind w:left="0" w:right="-291"/>
            <w:jc w:val="both"/>
            <w:rPr>
              <w:b w:val="0"/>
              <w:sz w:val="10"/>
              <w:szCs w:val="10"/>
            </w:rPr>
          </w:pPr>
        </w:p>
      </w:tc>
      <w:tc>
        <w:tcPr>
          <w:tcW w:w="3968" w:type="dxa"/>
        </w:tcPr>
        <w:p w14:paraId="4E06F993" w14:textId="77777777" w:rsidR="00FD516A" w:rsidRDefault="00FD516A" w:rsidP="00E73CD5">
          <w:pPr>
            <w:spacing w:line="360" w:lineRule="auto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Rua da Murgueira, 9/9A – Zambujal</w:t>
          </w:r>
        </w:p>
        <w:p w14:paraId="7CA16779" w14:textId="77777777" w:rsidR="00FD516A" w:rsidRPr="00CA7170" w:rsidRDefault="00FD516A" w:rsidP="00E73CD5">
          <w:pPr>
            <w:spacing w:line="360" w:lineRule="auto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 xml:space="preserve">Ap. 7585 – </w:t>
          </w:r>
          <w:r w:rsidRPr="00EB427C">
            <w:rPr>
              <w:b/>
              <w:sz w:val="12"/>
            </w:rPr>
            <w:t>2610-124</w:t>
          </w:r>
          <w:r>
            <w:t xml:space="preserve"> </w:t>
          </w:r>
          <w:r>
            <w:rPr>
              <w:rFonts w:ascii="Calibri" w:hAnsi="Calibri" w:cs="Calibri"/>
              <w:b/>
              <w:sz w:val="14"/>
              <w:szCs w:val="14"/>
            </w:rPr>
            <w:t>Amadora</w:t>
          </w:r>
        </w:p>
        <w:p w14:paraId="570B7C73" w14:textId="77777777" w:rsidR="00FD516A" w:rsidRPr="005E38E6" w:rsidRDefault="00FD516A" w:rsidP="00E73CD5">
          <w:pPr>
            <w:spacing w:line="360" w:lineRule="auto"/>
            <w:rPr>
              <w:rFonts w:ascii="Calibri" w:hAnsi="Calibri" w:cs="Calibri"/>
              <w:b/>
              <w:sz w:val="14"/>
              <w:szCs w:val="14"/>
              <w:lang w:val="en-GB"/>
            </w:rPr>
          </w:pPr>
          <w:r w:rsidRPr="005E38E6">
            <w:rPr>
              <w:rFonts w:ascii="Calibri" w:hAnsi="Calibri" w:cs="Calibri"/>
              <w:b/>
              <w:bCs/>
              <w:kern w:val="36"/>
              <w:sz w:val="14"/>
              <w:szCs w:val="14"/>
              <w:lang w:val="en-GB"/>
            </w:rPr>
            <w:t xml:space="preserve">Tel: (351)21 472 82 00 </w:t>
          </w:r>
          <w:r w:rsidRPr="005E38E6">
            <w:rPr>
              <w:rFonts w:ascii="Calibri" w:hAnsi="Calibri" w:cs="Calibri"/>
              <w:b/>
              <w:sz w:val="14"/>
              <w:szCs w:val="14"/>
              <w:lang w:val="en-GB"/>
            </w:rPr>
            <w:t>Fax: (351)21 471 90 74</w:t>
          </w:r>
        </w:p>
        <w:p w14:paraId="6EB22C67" w14:textId="77777777" w:rsidR="00FD516A" w:rsidRPr="009F7693" w:rsidRDefault="00FD516A" w:rsidP="00E73CD5">
          <w:pPr>
            <w:spacing w:line="360" w:lineRule="auto"/>
            <w:rPr>
              <w:rFonts w:ascii="Calibri" w:hAnsi="Calibri" w:cs="Calibri"/>
              <w:b/>
              <w:sz w:val="14"/>
              <w:lang w:val="en-US"/>
            </w:rPr>
          </w:pPr>
          <w:r w:rsidRPr="009F7693">
            <w:rPr>
              <w:rFonts w:ascii="Calibri" w:hAnsi="Calibri" w:cs="Calibri"/>
              <w:b/>
              <w:sz w:val="14"/>
              <w:lang w:val="en-US"/>
            </w:rPr>
            <w:t xml:space="preserve">email: </w:t>
          </w:r>
          <w:hyperlink r:id="rId2" w:history="1">
            <w:r w:rsidRPr="009F7693">
              <w:rPr>
                <w:rStyle w:val="Hiperligao"/>
                <w:rFonts w:ascii="Calibri" w:hAnsi="Calibri" w:cs="Calibri"/>
                <w:b/>
                <w:sz w:val="14"/>
                <w:lang w:val="en-US"/>
              </w:rPr>
              <w:t>geral@apambiente.pt</w:t>
            </w:r>
          </w:hyperlink>
          <w:r w:rsidRPr="009F7693">
            <w:rPr>
              <w:rFonts w:ascii="Calibri" w:hAnsi="Calibri" w:cs="Calibri"/>
              <w:b/>
              <w:sz w:val="14"/>
              <w:lang w:val="en-US"/>
            </w:rPr>
            <w:t xml:space="preserve"> </w:t>
          </w:r>
          <w:r>
            <w:rPr>
              <w:rFonts w:ascii="Calibri" w:hAnsi="Calibri" w:cs="Calibri"/>
              <w:b/>
              <w:sz w:val="14"/>
              <w:lang w:val="en-US"/>
            </w:rPr>
            <w:t>–</w:t>
          </w:r>
          <w:r w:rsidRPr="009F7693">
            <w:rPr>
              <w:rFonts w:ascii="Calibri" w:hAnsi="Calibri" w:cs="Calibri"/>
              <w:b/>
              <w:sz w:val="14"/>
              <w:lang w:val="en-US"/>
            </w:rPr>
            <w:t xml:space="preserve"> ht</w:t>
          </w:r>
          <w:r>
            <w:rPr>
              <w:rFonts w:ascii="Calibri" w:hAnsi="Calibri" w:cs="Calibri"/>
              <w:b/>
              <w:sz w:val="14"/>
              <w:lang w:val="en-US"/>
            </w:rPr>
            <w:t>tp://apambiente.pt</w:t>
          </w:r>
        </w:p>
      </w:tc>
    </w:tr>
  </w:tbl>
  <w:p w14:paraId="75002855" w14:textId="77777777" w:rsidR="00FD516A" w:rsidRPr="009F7693" w:rsidRDefault="00FD516A" w:rsidP="00E73CD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060B8" w14:textId="77777777" w:rsidR="00FD516A" w:rsidRDefault="00FD516A">
      <w:r>
        <w:separator/>
      </w:r>
    </w:p>
  </w:footnote>
  <w:footnote w:type="continuationSeparator" w:id="0">
    <w:p w14:paraId="22187894" w14:textId="77777777" w:rsidR="00FD516A" w:rsidRDefault="00FD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2F510" w14:textId="77777777" w:rsidR="00FD516A" w:rsidRDefault="00FD516A">
    <w:pPr>
      <w:pStyle w:val="HeaderIA"/>
    </w:pPr>
  </w:p>
  <w:p w14:paraId="2B605D93" w14:textId="77777777" w:rsidR="00FD516A" w:rsidRDefault="00FD516A">
    <w:pPr>
      <w:pStyle w:val="HeaderI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18057" w14:textId="77777777" w:rsidR="00FD516A" w:rsidRDefault="00FD516A" w:rsidP="00E73CD5">
    <w:pPr>
      <w:pStyle w:val="HeaderIA"/>
    </w:pPr>
    <w:r>
      <w:rPr>
        <w:noProof/>
      </w:rPr>
      <w:drawing>
        <wp:inline distT="0" distB="0" distL="0" distR="0" wp14:anchorId="607D1EF3" wp14:editId="3B194970">
          <wp:extent cx="2913888" cy="835152"/>
          <wp:effectExtent l="0" t="0" r="127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888" cy="835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1046"/>
    <w:multiLevelType w:val="hybridMultilevel"/>
    <w:tmpl w:val="022E029C"/>
    <w:lvl w:ilvl="0" w:tplc="29260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1A7"/>
    <w:multiLevelType w:val="hybridMultilevel"/>
    <w:tmpl w:val="29A64AFE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331AA0"/>
    <w:multiLevelType w:val="hybridMultilevel"/>
    <w:tmpl w:val="3ACC08DC"/>
    <w:lvl w:ilvl="0" w:tplc="29260C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E51132"/>
    <w:multiLevelType w:val="hybridMultilevel"/>
    <w:tmpl w:val="B19656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0966"/>
    <w:multiLevelType w:val="hybridMultilevel"/>
    <w:tmpl w:val="61628314"/>
    <w:lvl w:ilvl="0" w:tplc="29260C0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2F21C91"/>
    <w:multiLevelType w:val="hybridMultilevel"/>
    <w:tmpl w:val="AEA204C6"/>
    <w:lvl w:ilvl="0" w:tplc="5EDA6C36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i w:val="0"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6BE5F25"/>
    <w:multiLevelType w:val="hybridMultilevel"/>
    <w:tmpl w:val="07FA75D0"/>
    <w:lvl w:ilvl="0" w:tplc="C2DAAB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393F6898"/>
    <w:multiLevelType w:val="hybridMultilevel"/>
    <w:tmpl w:val="695EDB12"/>
    <w:lvl w:ilvl="0" w:tplc="5EDA6C36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i w:val="0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B5F6A52"/>
    <w:multiLevelType w:val="hybridMultilevel"/>
    <w:tmpl w:val="985C93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94847"/>
    <w:multiLevelType w:val="hybridMultilevel"/>
    <w:tmpl w:val="AEA204C6"/>
    <w:lvl w:ilvl="0" w:tplc="5EDA6C36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i w:val="0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9307C20"/>
    <w:multiLevelType w:val="hybridMultilevel"/>
    <w:tmpl w:val="A58A4348"/>
    <w:lvl w:ilvl="0" w:tplc="42A07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392F"/>
    <w:multiLevelType w:val="hybridMultilevel"/>
    <w:tmpl w:val="AEA204C6"/>
    <w:lvl w:ilvl="0" w:tplc="5EDA6C36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i w:val="0"/>
        <w:sz w:val="20"/>
        <w:szCs w:val="20"/>
      </w:rPr>
    </w:lvl>
    <w:lvl w:ilvl="1" w:tplc="08160019">
      <w:start w:val="1"/>
      <w:numFmt w:val="lowerLetter"/>
      <w:lvlText w:val="%2."/>
      <w:lvlJc w:val="left"/>
      <w:pPr>
        <w:ind w:left="2073" w:hanging="360"/>
      </w:pPr>
    </w:lvl>
    <w:lvl w:ilvl="2" w:tplc="0816001B" w:tentative="1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76225A9"/>
    <w:multiLevelType w:val="hybridMultilevel"/>
    <w:tmpl w:val="16D673E2"/>
    <w:lvl w:ilvl="0" w:tplc="C2DAAB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E3D56"/>
    <w:multiLevelType w:val="hybridMultilevel"/>
    <w:tmpl w:val="882EC2AC"/>
    <w:lvl w:ilvl="0" w:tplc="0816000F">
      <w:start w:val="1"/>
      <w:numFmt w:val="decimal"/>
      <w:lvlText w:val="%1."/>
      <w:lvlJc w:val="left"/>
      <w:pPr>
        <w:ind w:left="578" w:hanging="360"/>
      </w:pPr>
    </w:lvl>
    <w:lvl w:ilvl="1" w:tplc="08160019" w:tentative="1">
      <w:start w:val="1"/>
      <w:numFmt w:val="lowerLetter"/>
      <w:lvlText w:val="%2."/>
      <w:lvlJc w:val="left"/>
      <w:pPr>
        <w:ind w:left="1298" w:hanging="360"/>
      </w:pPr>
    </w:lvl>
    <w:lvl w:ilvl="2" w:tplc="0816001B" w:tentative="1">
      <w:start w:val="1"/>
      <w:numFmt w:val="lowerRoman"/>
      <w:lvlText w:val="%3."/>
      <w:lvlJc w:val="right"/>
      <w:pPr>
        <w:ind w:left="2018" w:hanging="180"/>
      </w:pPr>
    </w:lvl>
    <w:lvl w:ilvl="3" w:tplc="0816000F" w:tentative="1">
      <w:start w:val="1"/>
      <w:numFmt w:val="decimal"/>
      <w:lvlText w:val="%4."/>
      <w:lvlJc w:val="left"/>
      <w:pPr>
        <w:ind w:left="2738" w:hanging="360"/>
      </w:pPr>
    </w:lvl>
    <w:lvl w:ilvl="4" w:tplc="08160019" w:tentative="1">
      <w:start w:val="1"/>
      <w:numFmt w:val="lowerLetter"/>
      <w:lvlText w:val="%5."/>
      <w:lvlJc w:val="left"/>
      <w:pPr>
        <w:ind w:left="3458" w:hanging="360"/>
      </w:pPr>
    </w:lvl>
    <w:lvl w:ilvl="5" w:tplc="0816001B" w:tentative="1">
      <w:start w:val="1"/>
      <w:numFmt w:val="lowerRoman"/>
      <w:lvlText w:val="%6."/>
      <w:lvlJc w:val="right"/>
      <w:pPr>
        <w:ind w:left="4178" w:hanging="180"/>
      </w:pPr>
    </w:lvl>
    <w:lvl w:ilvl="6" w:tplc="0816000F" w:tentative="1">
      <w:start w:val="1"/>
      <w:numFmt w:val="decimal"/>
      <w:lvlText w:val="%7."/>
      <w:lvlJc w:val="left"/>
      <w:pPr>
        <w:ind w:left="4898" w:hanging="360"/>
      </w:pPr>
    </w:lvl>
    <w:lvl w:ilvl="7" w:tplc="08160019" w:tentative="1">
      <w:start w:val="1"/>
      <w:numFmt w:val="lowerLetter"/>
      <w:lvlText w:val="%8."/>
      <w:lvlJc w:val="left"/>
      <w:pPr>
        <w:ind w:left="5618" w:hanging="360"/>
      </w:pPr>
    </w:lvl>
    <w:lvl w:ilvl="8" w:tplc="08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638B09C6"/>
    <w:multiLevelType w:val="hybridMultilevel"/>
    <w:tmpl w:val="0FB019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050CB"/>
    <w:multiLevelType w:val="hybridMultilevel"/>
    <w:tmpl w:val="F25A077C"/>
    <w:lvl w:ilvl="0" w:tplc="8AF2DDE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2635C"/>
    <w:multiLevelType w:val="hybridMultilevel"/>
    <w:tmpl w:val="32B00062"/>
    <w:lvl w:ilvl="0" w:tplc="081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0"/>
  </w:num>
  <w:num w:numId="5">
    <w:abstractNumId w:val="12"/>
  </w:num>
  <w:num w:numId="6">
    <w:abstractNumId w:val="15"/>
  </w:num>
  <w:num w:numId="7">
    <w:abstractNumId w:val="2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3"/>
  </w:num>
  <w:num w:numId="13">
    <w:abstractNumId w:val="5"/>
  </w:num>
  <w:num w:numId="14">
    <w:abstractNumId w:val="11"/>
  </w:num>
  <w:num w:numId="15">
    <w:abstractNumId w:val="1"/>
  </w:num>
  <w:num w:numId="16">
    <w:abstractNumId w:val="14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printFractionalCharacterWidth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561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05"/>
    <w:rsid w:val="00001BA1"/>
    <w:rsid w:val="000026D7"/>
    <w:rsid w:val="000635FE"/>
    <w:rsid w:val="00070117"/>
    <w:rsid w:val="000706A1"/>
    <w:rsid w:val="00092A41"/>
    <w:rsid w:val="000B34F6"/>
    <w:rsid w:val="000B6643"/>
    <w:rsid w:val="000C5357"/>
    <w:rsid w:val="000D0199"/>
    <w:rsid w:val="000E140D"/>
    <w:rsid w:val="000E22F6"/>
    <w:rsid w:val="00102393"/>
    <w:rsid w:val="00103BA8"/>
    <w:rsid w:val="00117310"/>
    <w:rsid w:val="00137157"/>
    <w:rsid w:val="001428EC"/>
    <w:rsid w:val="00143DC6"/>
    <w:rsid w:val="00145F09"/>
    <w:rsid w:val="001848BA"/>
    <w:rsid w:val="00192032"/>
    <w:rsid w:val="00196693"/>
    <w:rsid w:val="001A20F3"/>
    <w:rsid w:val="001A6480"/>
    <w:rsid w:val="001A717F"/>
    <w:rsid w:val="001B2ABA"/>
    <w:rsid w:val="001C0E30"/>
    <w:rsid w:val="001C3C90"/>
    <w:rsid w:val="001D3779"/>
    <w:rsid w:val="001E6A15"/>
    <w:rsid w:val="00216526"/>
    <w:rsid w:val="00216C5E"/>
    <w:rsid w:val="00226003"/>
    <w:rsid w:val="0024243D"/>
    <w:rsid w:val="00245F96"/>
    <w:rsid w:val="00265368"/>
    <w:rsid w:val="00273E1A"/>
    <w:rsid w:val="00280552"/>
    <w:rsid w:val="00294EE5"/>
    <w:rsid w:val="002A29D0"/>
    <w:rsid w:val="002C4FA5"/>
    <w:rsid w:val="002C7381"/>
    <w:rsid w:val="002D40F6"/>
    <w:rsid w:val="002E76E1"/>
    <w:rsid w:val="002F7A43"/>
    <w:rsid w:val="00300146"/>
    <w:rsid w:val="00302187"/>
    <w:rsid w:val="00303A5D"/>
    <w:rsid w:val="00315950"/>
    <w:rsid w:val="003174A5"/>
    <w:rsid w:val="00323967"/>
    <w:rsid w:val="0033682A"/>
    <w:rsid w:val="00341FF3"/>
    <w:rsid w:val="00361143"/>
    <w:rsid w:val="00365EEC"/>
    <w:rsid w:val="00376A9A"/>
    <w:rsid w:val="003A03BC"/>
    <w:rsid w:val="003A36AE"/>
    <w:rsid w:val="003A6073"/>
    <w:rsid w:val="003B4213"/>
    <w:rsid w:val="003C1D44"/>
    <w:rsid w:val="00420B6D"/>
    <w:rsid w:val="004219B3"/>
    <w:rsid w:val="0043157E"/>
    <w:rsid w:val="004405DA"/>
    <w:rsid w:val="00442F2C"/>
    <w:rsid w:val="00442FAB"/>
    <w:rsid w:val="00443056"/>
    <w:rsid w:val="004432F7"/>
    <w:rsid w:val="004544C0"/>
    <w:rsid w:val="004605C0"/>
    <w:rsid w:val="00465706"/>
    <w:rsid w:val="00471A4B"/>
    <w:rsid w:val="00474682"/>
    <w:rsid w:val="00482800"/>
    <w:rsid w:val="00493AE7"/>
    <w:rsid w:val="004A191D"/>
    <w:rsid w:val="004A2159"/>
    <w:rsid w:val="004A2AEC"/>
    <w:rsid w:val="004B643A"/>
    <w:rsid w:val="004B7EF8"/>
    <w:rsid w:val="004C02CE"/>
    <w:rsid w:val="004C2E1C"/>
    <w:rsid w:val="004D713A"/>
    <w:rsid w:val="004F6A37"/>
    <w:rsid w:val="004F7567"/>
    <w:rsid w:val="0051511A"/>
    <w:rsid w:val="00516099"/>
    <w:rsid w:val="0055076B"/>
    <w:rsid w:val="00551209"/>
    <w:rsid w:val="005540AD"/>
    <w:rsid w:val="0055674C"/>
    <w:rsid w:val="00563545"/>
    <w:rsid w:val="00584ABE"/>
    <w:rsid w:val="005A41F0"/>
    <w:rsid w:val="005D6EE1"/>
    <w:rsid w:val="005E38E6"/>
    <w:rsid w:val="005E54F8"/>
    <w:rsid w:val="005F0EDA"/>
    <w:rsid w:val="005F1ABB"/>
    <w:rsid w:val="005F24E1"/>
    <w:rsid w:val="006110D4"/>
    <w:rsid w:val="00611372"/>
    <w:rsid w:val="00634A49"/>
    <w:rsid w:val="00653794"/>
    <w:rsid w:val="006727C7"/>
    <w:rsid w:val="00676FDD"/>
    <w:rsid w:val="00694EC5"/>
    <w:rsid w:val="006A4FAA"/>
    <w:rsid w:val="006B0694"/>
    <w:rsid w:val="006B0845"/>
    <w:rsid w:val="006B402D"/>
    <w:rsid w:val="006E0E02"/>
    <w:rsid w:val="006E2D48"/>
    <w:rsid w:val="006F0811"/>
    <w:rsid w:val="006F0E47"/>
    <w:rsid w:val="006F0FDB"/>
    <w:rsid w:val="006F7BE1"/>
    <w:rsid w:val="00703337"/>
    <w:rsid w:val="00710591"/>
    <w:rsid w:val="00710F86"/>
    <w:rsid w:val="00715BD7"/>
    <w:rsid w:val="00722943"/>
    <w:rsid w:val="007268DE"/>
    <w:rsid w:val="00743437"/>
    <w:rsid w:val="00750F34"/>
    <w:rsid w:val="00751233"/>
    <w:rsid w:val="0076655C"/>
    <w:rsid w:val="007749AD"/>
    <w:rsid w:val="00784E9D"/>
    <w:rsid w:val="0078568F"/>
    <w:rsid w:val="00793053"/>
    <w:rsid w:val="0079540E"/>
    <w:rsid w:val="007976A3"/>
    <w:rsid w:val="007B4AC5"/>
    <w:rsid w:val="007C1C75"/>
    <w:rsid w:val="007C4911"/>
    <w:rsid w:val="007D6E87"/>
    <w:rsid w:val="007E065E"/>
    <w:rsid w:val="007F0E90"/>
    <w:rsid w:val="0081059E"/>
    <w:rsid w:val="00825714"/>
    <w:rsid w:val="00826B18"/>
    <w:rsid w:val="008503B4"/>
    <w:rsid w:val="0087293A"/>
    <w:rsid w:val="00883B59"/>
    <w:rsid w:val="00885670"/>
    <w:rsid w:val="008A098B"/>
    <w:rsid w:val="008A3DCA"/>
    <w:rsid w:val="0090144A"/>
    <w:rsid w:val="00901450"/>
    <w:rsid w:val="00936AD7"/>
    <w:rsid w:val="00941AE2"/>
    <w:rsid w:val="00942366"/>
    <w:rsid w:val="00961963"/>
    <w:rsid w:val="00961A9E"/>
    <w:rsid w:val="00961D76"/>
    <w:rsid w:val="0099691A"/>
    <w:rsid w:val="009A1FAC"/>
    <w:rsid w:val="009A7CF4"/>
    <w:rsid w:val="009B0B61"/>
    <w:rsid w:val="009B599D"/>
    <w:rsid w:val="009C124D"/>
    <w:rsid w:val="009D7C40"/>
    <w:rsid w:val="009E5FD2"/>
    <w:rsid w:val="009F5F53"/>
    <w:rsid w:val="00A17FF2"/>
    <w:rsid w:val="00A221A8"/>
    <w:rsid w:val="00A41B06"/>
    <w:rsid w:val="00A42AF2"/>
    <w:rsid w:val="00A63E91"/>
    <w:rsid w:val="00A72D76"/>
    <w:rsid w:val="00AB7CEE"/>
    <w:rsid w:val="00AC521C"/>
    <w:rsid w:val="00AC5786"/>
    <w:rsid w:val="00AD08D4"/>
    <w:rsid w:val="00AD2A7D"/>
    <w:rsid w:val="00AE307A"/>
    <w:rsid w:val="00AE456B"/>
    <w:rsid w:val="00AF7859"/>
    <w:rsid w:val="00B06928"/>
    <w:rsid w:val="00B14977"/>
    <w:rsid w:val="00B17CBB"/>
    <w:rsid w:val="00B20FBD"/>
    <w:rsid w:val="00B212A9"/>
    <w:rsid w:val="00B22986"/>
    <w:rsid w:val="00B37CF2"/>
    <w:rsid w:val="00B45181"/>
    <w:rsid w:val="00B466C7"/>
    <w:rsid w:val="00B46824"/>
    <w:rsid w:val="00B5225F"/>
    <w:rsid w:val="00B70A8C"/>
    <w:rsid w:val="00B83A7E"/>
    <w:rsid w:val="00BB3207"/>
    <w:rsid w:val="00BC4186"/>
    <w:rsid w:val="00BF2C4A"/>
    <w:rsid w:val="00C156CE"/>
    <w:rsid w:val="00C243EF"/>
    <w:rsid w:val="00C37F1C"/>
    <w:rsid w:val="00C404E5"/>
    <w:rsid w:val="00C46DBD"/>
    <w:rsid w:val="00C545C5"/>
    <w:rsid w:val="00C73D94"/>
    <w:rsid w:val="00C75427"/>
    <w:rsid w:val="00C8528F"/>
    <w:rsid w:val="00CA0990"/>
    <w:rsid w:val="00CA3DFA"/>
    <w:rsid w:val="00CA48BE"/>
    <w:rsid w:val="00CA5EDA"/>
    <w:rsid w:val="00CB4188"/>
    <w:rsid w:val="00CD0186"/>
    <w:rsid w:val="00CD09BC"/>
    <w:rsid w:val="00CE6479"/>
    <w:rsid w:val="00CF6116"/>
    <w:rsid w:val="00D15D49"/>
    <w:rsid w:val="00D2116E"/>
    <w:rsid w:val="00D51813"/>
    <w:rsid w:val="00D73C0D"/>
    <w:rsid w:val="00D74893"/>
    <w:rsid w:val="00D8231D"/>
    <w:rsid w:val="00DA2E6D"/>
    <w:rsid w:val="00DA43E6"/>
    <w:rsid w:val="00DE5EEA"/>
    <w:rsid w:val="00DE7F20"/>
    <w:rsid w:val="00DF537B"/>
    <w:rsid w:val="00E02019"/>
    <w:rsid w:val="00E17384"/>
    <w:rsid w:val="00E21914"/>
    <w:rsid w:val="00E32956"/>
    <w:rsid w:val="00E4329D"/>
    <w:rsid w:val="00E52D6F"/>
    <w:rsid w:val="00E565D6"/>
    <w:rsid w:val="00E62550"/>
    <w:rsid w:val="00E73CD5"/>
    <w:rsid w:val="00E81759"/>
    <w:rsid w:val="00E95ED4"/>
    <w:rsid w:val="00E97A05"/>
    <w:rsid w:val="00EA33B0"/>
    <w:rsid w:val="00EA4906"/>
    <w:rsid w:val="00EB6462"/>
    <w:rsid w:val="00EC6EA9"/>
    <w:rsid w:val="00EE16E7"/>
    <w:rsid w:val="00EF0D60"/>
    <w:rsid w:val="00EF6DE0"/>
    <w:rsid w:val="00F21C98"/>
    <w:rsid w:val="00F235DC"/>
    <w:rsid w:val="00F25297"/>
    <w:rsid w:val="00F43B9D"/>
    <w:rsid w:val="00F71B54"/>
    <w:rsid w:val="00F827BF"/>
    <w:rsid w:val="00F9722E"/>
    <w:rsid w:val="00FA0FF7"/>
    <w:rsid w:val="00FC23CB"/>
    <w:rsid w:val="00FC4893"/>
    <w:rsid w:val="00FC7C9C"/>
    <w:rsid w:val="00FD516A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316B6D"/>
  <w15:docId w15:val="{F0298620-FC06-4B99-99C6-438C327D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Cabealho7">
    <w:name w:val="heading 7"/>
    <w:basedOn w:val="Normal"/>
    <w:next w:val="Normal"/>
    <w:link w:val="Cabealho7Carter1"/>
    <w:qFormat/>
    <w:rsid w:val="00375396"/>
    <w:pPr>
      <w:keepNext/>
      <w:ind w:left="540"/>
      <w:jc w:val="left"/>
      <w:outlineLvl w:val="6"/>
    </w:pPr>
    <w:rPr>
      <w:rFonts w:ascii="Verdana" w:hAnsi="Verdana"/>
      <w:b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pPr>
      <w:widowControl w:val="0"/>
      <w:tabs>
        <w:tab w:val="right" w:pos="9498"/>
      </w:tabs>
      <w:spacing w:before="20"/>
    </w:pPr>
    <w:rPr>
      <w:sz w:val="18"/>
    </w:rPr>
  </w:style>
  <w:style w:type="paragraph" w:styleId="Cabealho">
    <w:name w:val="header"/>
    <w:basedOn w:val="Normal"/>
    <w:link w:val="CabealhoCarter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info">
    <w:name w:val="info"/>
    <w:basedOn w:val="Normal"/>
    <w:pPr>
      <w:spacing w:before="120"/>
    </w:pPr>
    <w:rPr>
      <w:sz w:val="22"/>
    </w:rPr>
  </w:style>
  <w:style w:type="paragraph" w:customStyle="1" w:styleId="infotxt">
    <w:name w:val="infotxt"/>
    <w:basedOn w:val="info"/>
    <w:pPr>
      <w:ind w:left="567" w:right="559"/>
    </w:pPr>
    <w:rPr>
      <w:sz w:val="20"/>
    </w:rPr>
  </w:style>
  <w:style w:type="paragraph" w:customStyle="1" w:styleId="HeaderIA">
    <w:name w:val="HeaderIA"/>
    <w:basedOn w:val="Normal"/>
    <w:pPr>
      <w:widowControl w:val="0"/>
      <w:tabs>
        <w:tab w:val="center" w:pos="4252"/>
      </w:tabs>
      <w:jc w:val="left"/>
    </w:pPr>
  </w:style>
  <w:style w:type="paragraph" w:customStyle="1" w:styleId="H1">
    <w:name w:val="H1"/>
    <w:basedOn w:val="Normal"/>
    <w:pPr>
      <w:spacing w:line="420" w:lineRule="auto"/>
      <w:jc w:val="right"/>
    </w:pPr>
    <w:rPr>
      <w:sz w:val="14"/>
    </w:rPr>
  </w:style>
  <w:style w:type="paragraph" w:customStyle="1" w:styleId="H2">
    <w:name w:val="H2"/>
    <w:basedOn w:val="Normal"/>
    <w:pPr>
      <w:spacing w:line="264" w:lineRule="auto"/>
    </w:pPr>
    <w:rPr>
      <w:rFonts w:ascii="Arial Black" w:hAnsi="Arial Black"/>
      <w:sz w:val="18"/>
    </w:rPr>
  </w:style>
  <w:style w:type="paragraph" w:customStyle="1" w:styleId="Footerpg">
    <w:name w:val="Footer pg"/>
    <w:basedOn w:val="Normal"/>
    <w:pPr>
      <w:widowControl w:val="0"/>
      <w:tabs>
        <w:tab w:val="right" w:pos="9498"/>
      </w:tabs>
      <w:spacing w:before="20"/>
    </w:pPr>
    <w:rPr>
      <w:sz w:val="18"/>
    </w:rPr>
  </w:style>
  <w:style w:type="paragraph" w:customStyle="1" w:styleId="Assunto">
    <w:name w:val="Assunto"/>
    <w:basedOn w:val="Normal"/>
    <w:pPr>
      <w:spacing w:line="360" w:lineRule="auto"/>
    </w:pPr>
    <w:rPr>
      <w:rFonts w:ascii="Arial Black" w:hAnsi="Arial Black"/>
    </w:rPr>
  </w:style>
  <w:style w:type="paragraph" w:customStyle="1" w:styleId="ass">
    <w:name w:val="ass"/>
    <w:basedOn w:val="info"/>
    <w:pPr>
      <w:spacing w:before="0" w:line="360" w:lineRule="auto"/>
    </w:pPr>
    <w:rPr>
      <w:sz w:val="18"/>
    </w:rPr>
  </w:style>
  <w:style w:type="paragraph" w:customStyle="1" w:styleId="FooterTXT">
    <w:name w:val="FooterTXT"/>
    <w:basedOn w:val="Normal"/>
    <w:pPr>
      <w:spacing w:line="360" w:lineRule="auto"/>
      <w:ind w:left="142" w:right="-150"/>
      <w:jc w:val="center"/>
    </w:pPr>
    <w:rPr>
      <w:b/>
      <w:sz w:val="16"/>
    </w:rPr>
  </w:style>
  <w:style w:type="table" w:styleId="Tabelacomgrelha">
    <w:name w:val="Table Grid"/>
    <w:basedOn w:val="Tabelanormal"/>
    <w:uiPriority w:val="59"/>
    <w:rsid w:val="0095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18180B"/>
    <w:rPr>
      <w:rFonts w:ascii="Arial" w:hAnsi="Arial"/>
      <w:sz w:val="18"/>
    </w:rPr>
  </w:style>
  <w:style w:type="character" w:styleId="Refdecomentrio">
    <w:name w:val="annotation reference"/>
    <w:unhideWhenUsed/>
    <w:rsid w:val="002E790F"/>
    <w:rPr>
      <w:sz w:val="16"/>
      <w:szCs w:val="16"/>
    </w:rPr>
  </w:style>
  <w:style w:type="paragraph" w:styleId="Textodecomentrio">
    <w:name w:val="annotation text"/>
    <w:basedOn w:val="Normal"/>
    <w:link w:val="TextodecomentrioCarter1"/>
    <w:unhideWhenUsed/>
    <w:rsid w:val="002E790F"/>
  </w:style>
  <w:style w:type="character" w:customStyle="1" w:styleId="TextodecomentrioCarter">
    <w:name w:val="Texto de comentário Caráter"/>
    <w:basedOn w:val="Tipodeletrapredefinidodopargrafo"/>
    <w:uiPriority w:val="99"/>
    <w:semiHidden/>
    <w:rsid w:val="002E790F"/>
    <w:rPr>
      <w:rFonts w:ascii="Arial" w:hAnsi="Arial"/>
    </w:rPr>
  </w:style>
  <w:style w:type="character" w:customStyle="1" w:styleId="TextodecomentrioCarter1">
    <w:name w:val="Texto de comentário Caráter1"/>
    <w:link w:val="Textodecomentrio"/>
    <w:semiHidden/>
    <w:rsid w:val="002E790F"/>
    <w:rPr>
      <w:rFonts w:ascii="Arial" w:hAnsi="Ari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2C8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2C83"/>
    <w:rPr>
      <w:rFonts w:ascii="Segoe UI" w:hAnsi="Segoe UI" w:cs="Segoe UI"/>
      <w:sz w:val="18"/>
      <w:szCs w:val="18"/>
    </w:rPr>
  </w:style>
  <w:style w:type="character" w:customStyle="1" w:styleId="Cabealho7Carter">
    <w:name w:val="Cabeçalho 7 Caráter"/>
    <w:basedOn w:val="Tipodeletrapredefinidodopargrafo"/>
    <w:uiPriority w:val="9"/>
    <w:semiHidden/>
    <w:rsid w:val="003753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7Carter1">
    <w:name w:val="Cabeçalho 7 Caráter1"/>
    <w:link w:val="Cabealho7"/>
    <w:rsid w:val="00375396"/>
    <w:rPr>
      <w:rFonts w:ascii="Verdana" w:hAnsi="Verdana"/>
      <w:b/>
      <w:szCs w:val="24"/>
    </w:rPr>
  </w:style>
  <w:style w:type="character" w:customStyle="1" w:styleId="TextodecomentrioCarcter">
    <w:name w:val="Texto de comentário Carácter"/>
    <w:uiPriority w:val="99"/>
    <w:rsid w:val="00461E56"/>
    <w:rPr>
      <w:rFonts w:ascii="Arial" w:hAnsi="Arial"/>
    </w:rPr>
  </w:style>
  <w:style w:type="numbering" w:customStyle="1" w:styleId="Semlista1">
    <w:name w:val="Sem lista1"/>
    <w:next w:val="Semlista"/>
    <w:semiHidden/>
    <w:rsid w:val="00E47255"/>
  </w:style>
  <w:style w:type="character" w:customStyle="1" w:styleId="CabealhoCarter">
    <w:name w:val="Cabeçalho Caráter"/>
    <w:link w:val="Cabealho"/>
    <w:rsid w:val="00E47255"/>
    <w:rPr>
      <w:rFonts w:ascii="Arial" w:hAnsi="Arial"/>
    </w:rPr>
  </w:style>
  <w:style w:type="character" w:customStyle="1" w:styleId="TextodebaloCarcter">
    <w:name w:val="Texto de balão Carácter"/>
    <w:uiPriority w:val="99"/>
    <w:semiHidden/>
    <w:rsid w:val="00E472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7255"/>
    <w:pPr>
      <w:jc w:val="left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47255"/>
    <w:pPr>
      <w:ind w:left="708"/>
      <w:jc w:val="left"/>
    </w:pPr>
    <w:rPr>
      <w:rFonts w:cs="Arial"/>
      <w:color w:val="000000"/>
      <w:sz w:val="24"/>
      <w:szCs w:val="24"/>
      <w:lang w:eastAsia="en-US"/>
    </w:rPr>
  </w:style>
  <w:style w:type="paragraph" w:styleId="Avanodecorpodetexto2">
    <w:name w:val="Body Text Indent 2"/>
    <w:basedOn w:val="Normal"/>
    <w:link w:val="Avanodecorpodetexto2Carter1"/>
    <w:uiPriority w:val="99"/>
    <w:semiHidden/>
    <w:unhideWhenUsed/>
    <w:rsid w:val="00E47255"/>
    <w:pPr>
      <w:ind w:left="284"/>
    </w:p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E47255"/>
    <w:rPr>
      <w:rFonts w:ascii="Arial" w:hAnsi="Arial"/>
    </w:rPr>
  </w:style>
  <w:style w:type="character" w:customStyle="1" w:styleId="Avanodecorpodetexto2Carter1">
    <w:name w:val="Avanço de corpo de texto 2 Caráter1"/>
    <w:link w:val="Avanodecorpodetexto2"/>
    <w:uiPriority w:val="99"/>
    <w:semiHidden/>
    <w:rsid w:val="00E47255"/>
    <w:rPr>
      <w:rFonts w:ascii="Arial" w:hAnsi="Arial"/>
    </w:rPr>
  </w:style>
  <w:style w:type="character" w:styleId="nfase">
    <w:name w:val="Emphasis"/>
    <w:qFormat/>
    <w:rsid w:val="00E47255"/>
    <w:rPr>
      <w:i/>
      <w:iCs/>
    </w:rPr>
  </w:style>
  <w:style w:type="paragraph" w:customStyle="1" w:styleId="textoLA">
    <w:name w:val="texto LA"/>
    <w:basedOn w:val="Normal"/>
    <w:link w:val="textoLACarcter"/>
    <w:qFormat/>
    <w:rsid w:val="00E47255"/>
    <w:pPr>
      <w:spacing w:before="120" w:after="120"/>
      <w:ind w:left="57" w:right="57"/>
    </w:pPr>
    <w:rPr>
      <w:bCs/>
    </w:rPr>
  </w:style>
  <w:style w:type="character" w:customStyle="1" w:styleId="textoLACarcter">
    <w:name w:val="texto LA Carácter"/>
    <w:link w:val="textoLA"/>
    <w:locked/>
    <w:rsid w:val="00E47255"/>
    <w:rPr>
      <w:rFonts w:ascii="Arial" w:hAnsi="Arial"/>
      <w:bCs/>
    </w:rPr>
  </w:style>
  <w:style w:type="paragraph" w:styleId="Corpodetexto">
    <w:name w:val="Body Text"/>
    <w:basedOn w:val="Normal"/>
    <w:link w:val="CorpodetextoCarter1"/>
    <w:uiPriority w:val="99"/>
    <w:semiHidden/>
    <w:unhideWhenUsed/>
    <w:rsid w:val="00E47255"/>
    <w:pPr>
      <w:spacing w:after="120"/>
    </w:pPr>
  </w:style>
  <w:style w:type="character" w:customStyle="1" w:styleId="CorpodetextoCarter">
    <w:name w:val="Corpo de texto Caráter"/>
    <w:basedOn w:val="Tipodeletrapredefinidodopargrafo"/>
    <w:uiPriority w:val="99"/>
    <w:semiHidden/>
    <w:rsid w:val="00E47255"/>
    <w:rPr>
      <w:rFonts w:ascii="Arial" w:hAnsi="Arial"/>
    </w:rPr>
  </w:style>
  <w:style w:type="character" w:customStyle="1" w:styleId="CorpodetextoCarter1">
    <w:name w:val="Corpo de texto Caráter1"/>
    <w:link w:val="Corpodetexto"/>
    <w:uiPriority w:val="99"/>
    <w:semiHidden/>
    <w:rsid w:val="00E47255"/>
    <w:rPr>
      <w:rFonts w:ascii="Arial" w:hAnsi="Arial"/>
    </w:rPr>
  </w:style>
  <w:style w:type="character" w:styleId="Hiperligaovisitada">
    <w:name w:val="FollowedHyperlink"/>
    <w:uiPriority w:val="99"/>
    <w:semiHidden/>
    <w:unhideWhenUsed/>
    <w:rsid w:val="00E47255"/>
    <w:rPr>
      <w:color w:val="954F72"/>
      <w:u w:val="single"/>
    </w:rPr>
  </w:style>
  <w:style w:type="paragraph" w:styleId="Textodenotaderodap">
    <w:name w:val="footnote text"/>
    <w:basedOn w:val="Normal"/>
    <w:link w:val="TextodenotaderodapCarter"/>
    <w:unhideWhenUsed/>
    <w:rsid w:val="00E73CD5"/>
  </w:style>
  <w:style w:type="character" w:customStyle="1" w:styleId="TextodenotaderodapCarter">
    <w:name w:val="Texto de nota de rodapé Caráter"/>
    <w:basedOn w:val="Tipodeletrapredefinidodopargrafo"/>
    <w:link w:val="Textodenotaderodap"/>
    <w:rsid w:val="00E73CD5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E73CD5"/>
    <w:rPr>
      <w:vertAlign w:val="superscri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D6EE1"/>
    <w:rPr>
      <w:b/>
      <w:bCs/>
    </w:rPr>
  </w:style>
  <w:style w:type="character" w:customStyle="1" w:styleId="AssuntodecomentrioCarter">
    <w:name w:val="Assunto de comentário Caráter"/>
    <w:basedOn w:val="TextodecomentrioCarter1"/>
    <w:link w:val="Assuntodecomentrio"/>
    <w:uiPriority w:val="99"/>
    <w:semiHidden/>
    <w:rsid w:val="005D6EE1"/>
    <w:rPr>
      <w:rFonts w:ascii="Arial" w:hAnsi="Arial"/>
      <w:b/>
      <w:bCs/>
    </w:rPr>
  </w:style>
  <w:style w:type="paragraph" w:customStyle="1" w:styleId="Default">
    <w:name w:val="Default"/>
    <w:rsid w:val="001371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apambiente.p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03E3-1541-4C94-A03C-4E204B31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8122241F.dotm</Template>
  <TotalTime>25</TotalTime>
  <Pages>6</Pages>
  <Words>2328</Words>
  <Characters>13370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xxx/96–sigla</vt:lpstr>
      <vt:lpstr>xxx/96–sigla</vt:lpstr>
    </vt:vector>
  </TitlesOfParts>
  <Company/>
  <LinksUpToDate>false</LinksUpToDate>
  <CharactersWithSpaces>15667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xxx/96–sigla</dc:title>
  <dc:creator>jose.ferreira</dc:creator>
  <cp:keywords>Informação</cp:keywords>
  <cp:lastModifiedBy>APA</cp:lastModifiedBy>
  <cp:revision>5</cp:revision>
  <cp:lastPrinted>2016-12-22T11:17:00Z</cp:lastPrinted>
  <dcterms:created xsi:type="dcterms:W3CDTF">2020-04-20T15:23:00Z</dcterms:created>
  <dcterms:modified xsi:type="dcterms:W3CDTF">2020-04-20T15:47:00Z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oc_ClassificationNodeID">
    <vt:lpwstr/>
  </property>
  <property fmtid="{D5CDD505-2E9C-101B-9397-08002B2CF9AE}" pid="3" name="FileDoc_DocFileID">
    <vt:lpwstr>2092595</vt:lpwstr>
  </property>
  <property fmtid="{D5CDD505-2E9C-101B-9397-08002B2CF9AE}" pid="4" name="FileDoc_DocID">
    <vt:lpwstr>1775591</vt:lpwstr>
  </property>
  <property fmtid="{D5CDD505-2E9C-101B-9397-08002B2CF9AE}" pid="5" name="FileDoc_EntityID">
    <vt:lpwstr/>
  </property>
  <property fmtid="{D5CDD505-2E9C-101B-9397-08002B2CF9AE}" pid="6" name="FileDoc_ProcID">
    <vt:lpwstr/>
  </property>
  <property fmtid="{D5CDD505-2E9C-101B-9397-08002B2CF9AE}" pid="7" name="FileDoc_RecordType">
    <vt:lpwstr>DOCS</vt:lpwstr>
  </property>
</Properties>
</file>